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DCFED" w14:textId="77777777" w:rsidR="00504EEF" w:rsidRDefault="00F36257" w:rsidP="00F36257">
      <w:pPr>
        <w:jc w:val="center"/>
      </w:pPr>
      <w:bookmarkStart w:id="0" w:name="_GoBack"/>
      <w:bookmarkEnd w:id="0"/>
      <w:r>
        <w:rPr>
          <w:b/>
        </w:rPr>
        <w:t xml:space="preserve">IN THE COURT OF APPEALS OF </w:t>
      </w:r>
      <w:smartTag w:uri="urn:schemas-microsoft-com:office:smarttags" w:element="State">
        <w:smartTag w:uri="urn:schemas-microsoft-com:office:smarttags" w:element="place">
          <w:r>
            <w:rPr>
              <w:b/>
            </w:rPr>
            <w:t>IOWA</w:t>
          </w:r>
        </w:smartTag>
      </w:smartTag>
    </w:p>
    <w:p w14:paraId="4DFE9CB3" w14:textId="77777777" w:rsidR="00F36257" w:rsidRDefault="00F36257" w:rsidP="00F36257">
      <w:pPr>
        <w:jc w:val="center"/>
      </w:pPr>
    </w:p>
    <w:p w14:paraId="3BCE648E" w14:textId="51302F26" w:rsidR="00F36257" w:rsidRDefault="00F36257" w:rsidP="00F36257">
      <w:pPr>
        <w:jc w:val="center"/>
      </w:pPr>
      <w:r>
        <w:t xml:space="preserve">No. </w:t>
      </w:r>
      <w:r w:rsidR="008446BE">
        <w:t>17-0014</w:t>
      </w:r>
    </w:p>
    <w:p w14:paraId="77F47A24" w14:textId="3714A438" w:rsidR="00F36257" w:rsidRDefault="009F6198" w:rsidP="00F36257">
      <w:pPr>
        <w:jc w:val="center"/>
      </w:pPr>
      <w:r>
        <w:t>Filed April 18, 2018</w:t>
      </w:r>
    </w:p>
    <w:p w14:paraId="78FEC01E" w14:textId="77777777" w:rsidR="00F36257" w:rsidRDefault="00F36257" w:rsidP="00F36257">
      <w:pPr>
        <w:jc w:val="center"/>
      </w:pPr>
    </w:p>
    <w:p w14:paraId="601D47A4" w14:textId="77777777" w:rsidR="00F36257" w:rsidRDefault="00F36257" w:rsidP="00F36257">
      <w:pPr>
        <w:jc w:val="center"/>
      </w:pPr>
    </w:p>
    <w:p w14:paraId="5E524B73" w14:textId="015BDD5F" w:rsidR="00F36257" w:rsidRDefault="008446BE" w:rsidP="00F36257">
      <w:pPr>
        <w:rPr>
          <w:b/>
        </w:rPr>
      </w:pPr>
      <w:r>
        <w:rPr>
          <w:b/>
        </w:rPr>
        <w:t>DANIEL WILSON</w:t>
      </w:r>
      <w:r w:rsidR="00F36257">
        <w:rPr>
          <w:b/>
        </w:rPr>
        <w:t>,</w:t>
      </w:r>
    </w:p>
    <w:p w14:paraId="162551B2" w14:textId="77777777" w:rsidR="00F36257" w:rsidRDefault="00F36257" w:rsidP="00F36257">
      <w:r>
        <w:tab/>
        <w:t>Applicant-Appellant,</w:t>
      </w:r>
    </w:p>
    <w:p w14:paraId="30BBE81E" w14:textId="77777777" w:rsidR="00F36257" w:rsidRDefault="00F36257" w:rsidP="00F36257"/>
    <w:p w14:paraId="33C48132" w14:textId="77777777" w:rsidR="00F36257" w:rsidRDefault="00F36257" w:rsidP="00F36257">
      <w:pPr>
        <w:rPr>
          <w:b/>
        </w:rPr>
      </w:pPr>
      <w:r>
        <w:rPr>
          <w:b/>
        </w:rPr>
        <w:t>vs.</w:t>
      </w:r>
    </w:p>
    <w:p w14:paraId="149D1AC8" w14:textId="77777777" w:rsidR="00F36257" w:rsidRDefault="00F36257" w:rsidP="00F36257">
      <w:pPr>
        <w:rPr>
          <w:b/>
        </w:rPr>
      </w:pPr>
    </w:p>
    <w:p w14:paraId="6A19264C" w14:textId="77777777" w:rsidR="00F36257" w:rsidRDefault="00F36257" w:rsidP="00F36257">
      <w:pPr>
        <w:rPr>
          <w:b/>
        </w:rPr>
      </w:pPr>
      <w:r>
        <w:rPr>
          <w:b/>
        </w:rPr>
        <w:t xml:space="preserve">STATE OF </w:t>
      </w:r>
      <w:smartTag w:uri="urn:schemas-microsoft-com:office:smarttags" w:element="State">
        <w:smartTag w:uri="urn:schemas-microsoft-com:office:smarttags" w:element="place">
          <w:r>
            <w:rPr>
              <w:b/>
            </w:rPr>
            <w:t>IOWA</w:t>
          </w:r>
        </w:smartTag>
      </w:smartTag>
      <w:r>
        <w:rPr>
          <w:b/>
        </w:rPr>
        <w:t>,</w:t>
      </w:r>
    </w:p>
    <w:p w14:paraId="61DF21ED" w14:textId="77777777" w:rsidR="00F36257" w:rsidRDefault="00F36257" w:rsidP="00F36257">
      <w:r>
        <w:rPr>
          <w:b/>
        </w:rPr>
        <w:tab/>
      </w:r>
      <w:r>
        <w:t>Respondent-Appellee.</w:t>
      </w:r>
    </w:p>
    <w:p w14:paraId="482565A7" w14:textId="77777777" w:rsidR="00F36257" w:rsidRDefault="00F36257" w:rsidP="00F36257">
      <w:r>
        <w:t>________________________________________________________________</w:t>
      </w:r>
    </w:p>
    <w:p w14:paraId="5DB9885D" w14:textId="77777777" w:rsidR="00F36257" w:rsidRDefault="00F36257" w:rsidP="00F36257">
      <w:pPr>
        <w:spacing w:line="480" w:lineRule="auto"/>
      </w:pPr>
    </w:p>
    <w:p w14:paraId="31B149AD" w14:textId="78DA36C3" w:rsidR="00F36257" w:rsidRDefault="00F36257" w:rsidP="00F36257">
      <w:pPr>
        <w:spacing w:line="480" w:lineRule="auto"/>
      </w:pPr>
      <w:r>
        <w:tab/>
        <w:t xml:space="preserve">Appeal from the Iowa District Court for </w:t>
      </w:r>
      <w:r w:rsidR="008446BE">
        <w:t>Des Moines</w:t>
      </w:r>
      <w:r>
        <w:t xml:space="preserve"> County,</w:t>
      </w:r>
      <w:r w:rsidR="00CE18D0">
        <w:t xml:space="preserve"> Mary Ann Brown</w:t>
      </w:r>
      <w:r>
        <w:t>, Judge.</w:t>
      </w:r>
    </w:p>
    <w:p w14:paraId="79644F48" w14:textId="77777777" w:rsidR="00F36257" w:rsidRDefault="00F36257" w:rsidP="00F36257">
      <w:pPr>
        <w:spacing w:line="480" w:lineRule="auto"/>
      </w:pPr>
    </w:p>
    <w:p w14:paraId="46F8C4F7" w14:textId="1E6BEAAF" w:rsidR="00F36257" w:rsidRDefault="00CE18D0" w:rsidP="00F36257">
      <w:pPr>
        <w:spacing w:line="480" w:lineRule="auto"/>
      </w:pPr>
      <w:r>
        <w:tab/>
      </w:r>
      <w:r w:rsidR="00C5183E">
        <w:t>The a</w:t>
      </w:r>
      <w:r>
        <w:t>pplicant appeals the district court’s denial of his postconviction</w:t>
      </w:r>
      <w:r w:rsidR="00C5183E">
        <w:t>-</w:t>
      </w:r>
      <w:r>
        <w:t xml:space="preserve">relief application as to his criminal convictions and sentences for three counts of </w:t>
      </w:r>
      <w:r>
        <w:rPr>
          <w:rFonts w:cs="Arial"/>
        </w:rPr>
        <w:t xml:space="preserve">assault by an inmate, bodily fluids or secretions, and two counts of assault on a jailer.  </w:t>
      </w:r>
      <w:r w:rsidRPr="00EC1713">
        <w:rPr>
          <w:rFonts w:cs="Arial"/>
          <w:b/>
        </w:rPr>
        <w:t>AFFIRMED.</w:t>
      </w:r>
    </w:p>
    <w:p w14:paraId="50A8FF83" w14:textId="77777777" w:rsidR="00F36257" w:rsidRDefault="00F36257" w:rsidP="00F36257">
      <w:pPr>
        <w:spacing w:line="480" w:lineRule="auto"/>
      </w:pPr>
    </w:p>
    <w:p w14:paraId="7E5F1EE0" w14:textId="2FC95667" w:rsidR="00F36257" w:rsidRDefault="00F36257" w:rsidP="00F36257">
      <w:pPr>
        <w:spacing w:line="480" w:lineRule="auto"/>
      </w:pPr>
      <w:r>
        <w:tab/>
      </w:r>
      <w:r w:rsidR="008446BE">
        <w:t xml:space="preserve">William </w:t>
      </w:r>
      <w:r w:rsidR="00673FB1">
        <w:t xml:space="preserve">R. </w:t>
      </w:r>
      <w:r w:rsidR="008446BE">
        <w:t>Monroe of Law Office of William Monroe</w:t>
      </w:r>
      <w:r>
        <w:t xml:space="preserve">, </w:t>
      </w:r>
      <w:r w:rsidR="008446BE">
        <w:t>Burlington</w:t>
      </w:r>
      <w:r>
        <w:t>, for appellant.</w:t>
      </w:r>
    </w:p>
    <w:p w14:paraId="37B32296" w14:textId="390B63CA" w:rsidR="00F36257" w:rsidRDefault="00F36257" w:rsidP="00F36257">
      <w:pPr>
        <w:spacing w:line="480" w:lineRule="auto"/>
      </w:pPr>
      <w:r>
        <w:tab/>
        <w:t>Thomas J. Miller, Attorney General,</w:t>
      </w:r>
      <w:r w:rsidR="008446BE">
        <w:t xml:space="preserve"> and</w:t>
      </w:r>
      <w:r>
        <w:t xml:space="preserve"> </w:t>
      </w:r>
      <w:r w:rsidR="008446BE">
        <w:t xml:space="preserve">Sheryl </w:t>
      </w:r>
      <w:r w:rsidR="00673FB1">
        <w:t xml:space="preserve">A. </w:t>
      </w:r>
      <w:r w:rsidR="008446BE">
        <w:t>Soich</w:t>
      </w:r>
      <w:r>
        <w:t>, Assistant Attorney General, for appellee State.</w:t>
      </w:r>
    </w:p>
    <w:p w14:paraId="6E42A4F6" w14:textId="77777777" w:rsidR="00F36257" w:rsidRDefault="00F36257" w:rsidP="00F36257">
      <w:pPr>
        <w:spacing w:line="480" w:lineRule="auto"/>
      </w:pPr>
    </w:p>
    <w:p w14:paraId="0DBF74B8" w14:textId="69DD7B9A" w:rsidR="00F36257" w:rsidRDefault="00F36257" w:rsidP="00F36257">
      <w:pPr>
        <w:spacing w:line="480" w:lineRule="auto"/>
      </w:pPr>
      <w:r>
        <w:tab/>
      </w:r>
      <w:r w:rsidR="008446BE">
        <w:t>Considered by Tabor, P.J., McDonald, J., and Blane, S.J.*</w:t>
      </w:r>
    </w:p>
    <w:p w14:paraId="04ED7A5C" w14:textId="77777777" w:rsidR="008446BE" w:rsidRPr="008446BE" w:rsidRDefault="008446BE" w:rsidP="00F36257">
      <w:pPr>
        <w:spacing w:line="480" w:lineRule="auto"/>
        <w:rPr>
          <w:sz w:val="22"/>
          <w:szCs w:val="22"/>
        </w:rPr>
      </w:pPr>
      <w:r>
        <w:tab/>
        <w:t>*</w:t>
      </w:r>
      <w:r>
        <w:rPr>
          <w:sz w:val="22"/>
          <w:szCs w:val="22"/>
        </w:rPr>
        <w:t>Senior judge assigned by order pursuant to Iowa Code section 602.9206 (2018).</w:t>
      </w:r>
    </w:p>
    <w:p w14:paraId="13AD993E" w14:textId="389217B9" w:rsidR="00C80DBF" w:rsidRDefault="00F36257" w:rsidP="00C80DBF">
      <w:pPr>
        <w:spacing w:line="480" w:lineRule="auto"/>
        <w:rPr>
          <w:b/>
        </w:rPr>
      </w:pPr>
      <w:r>
        <w:br w:type="page"/>
      </w:r>
      <w:r w:rsidR="00C80DBF">
        <w:rPr>
          <w:b/>
        </w:rPr>
        <w:lastRenderedPageBreak/>
        <w:t>BLANE, Senior Judge.</w:t>
      </w:r>
    </w:p>
    <w:p w14:paraId="05DC97E0" w14:textId="2A1DF776" w:rsidR="00C80DBF" w:rsidRDefault="00C80DBF" w:rsidP="00C80DBF">
      <w:pPr>
        <w:spacing w:line="480" w:lineRule="auto"/>
      </w:pPr>
      <w:r>
        <w:rPr>
          <w:b/>
        </w:rPr>
        <w:tab/>
      </w:r>
      <w:r>
        <w:t xml:space="preserve">Applicant </w:t>
      </w:r>
      <w:r w:rsidR="00C5183E">
        <w:t xml:space="preserve">Daniel </w:t>
      </w:r>
      <w:r>
        <w:t>Wilson contends his criminal convictions cannot stand because the State admitted in</w:t>
      </w:r>
      <w:r w:rsidR="00593270">
        <w:t xml:space="preserve"> its answer to the </w:t>
      </w:r>
      <w:r w:rsidR="00BE5337">
        <w:t>postconviction</w:t>
      </w:r>
      <w:r w:rsidR="00891B35">
        <w:t>-</w:t>
      </w:r>
      <w:r w:rsidR="00BE5337">
        <w:t>relief (</w:t>
      </w:r>
      <w:r w:rsidR="00593270">
        <w:t>PCR</w:t>
      </w:r>
      <w:r w:rsidR="00BE5337">
        <w:t>)</w:t>
      </w:r>
      <w:r w:rsidR="00593270">
        <w:t xml:space="preserve"> application</w:t>
      </w:r>
      <w:r>
        <w:t xml:space="preserve">, despite the evidence at the criminal trial, that the substance </w:t>
      </w:r>
      <w:r w:rsidR="00593270">
        <w:t>Wilson</w:t>
      </w:r>
      <w:r>
        <w:t xml:space="preserve"> threw at jailers was vomit and not urine, which does not </w:t>
      </w:r>
      <w:r w:rsidR="00846FB9">
        <w:t>meet the elements of the crime</w:t>
      </w:r>
      <w:r w:rsidR="009F6B3F">
        <w:t>s</w:t>
      </w:r>
      <w:r w:rsidR="00846FB9">
        <w:t xml:space="preserve"> of which he was convicted</w:t>
      </w:r>
      <w:r>
        <w:t>.</w:t>
      </w:r>
      <w:r w:rsidR="00C5183E">
        <w:t xml:space="preserve"> </w:t>
      </w:r>
      <w:r>
        <w:t xml:space="preserve"> He also asserts that his trial</w:t>
      </w:r>
      <w:r w:rsidR="00C5183E">
        <w:t xml:space="preserve"> counsel</w:t>
      </w:r>
      <w:r w:rsidR="00EC1713">
        <w:t xml:space="preserve"> </w:t>
      </w:r>
      <w:r>
        <w:t xml:space="preserve">and </w:t>
      </w:r>
      <w:r w:rsidR="00593270">
        <w:t xml:space="preserve">potentially </w:t>
      </w:r>
      <w:r w:rsidR="00891B35">
        <w:t>PCR</w:t>
      </w:r>
      <w:r>
        <w:t xml:space="preserve"> counsel were ineffective and that his sentences were unconstitutional as cruel and unusual punishment. </w:t>
      </w:r>
      <w:r w:rsidR="00C5183E">
        <w:t xml:space="preserve"> </w:t>
      </w:r>
      <w:r>
        <w:t>Based upon our review, we find Wilson’s claims fail and affirm.</w:t>
      </w:r>
    </w:p>
    <w:p w14:paraId="7ABB1043" w14:textId="3ABC0EAF" w:rsidR="00C80DBF" w:rsidRPr="0006603D" w:rsidRDefault="00831ED8" w:rsidP="00831ED8">
      <w:pPr>
        <w:spacing w:line="480" w:lineRule="auto"/>
        <w:rPr>
          <w:b/>
        </w:rPr>
      </w:pPr>
      <w:r w:rsidRPr="0006603D">
        <w:rPr>
          <w:b/>
        </w:rPr>
        <w:t xml:space="preserve">I. </w:t>
      </w:r>
      <w:r w:rsidR="00C80DBF" w:rsidRPr="0006603D">
        <w:rPr>
          <w:b/>
        </w:rPr>
        <w:t xml:space="preserve">Procedural </w:t>
      </w:r>
      <w:r w:rsidR="00BE5337" w:rsidRPr="0006603D">
        <w:rPr>
          <w:b/>
        </w:rPr>
        <w:t>B</w:t>
      </w:r>
      <w:r w:rsidR="00C80DBF" w:rsidRPr="0006603D">
        <w:rPr>
          <w:b/>
        </w:rPr>
        <w:t>ackground.</w:t>
      </w:r>
    </w:p>
    <w:p w14:paraId="45B477EE" w14:textId="0F7307D9" w:rsidR="00C80DBF" w:rsidRDefault="00C80DBF" w:rsidP="00CA2D35">
      <w:pPr>
        <w:autoSpaceDE w:val="0"/>
        <w:autoSpaceDN w:val="0"/>
        <w:adjustRightInd w:val="0"/>
        <w:spacing w:line="480" w:lineRule="auto"/>
        <w:rPr>
          <w:rFonts w:cs="Arial"/>
        </w:rPr>
      </w:pPr>
      <w:r>
        <w:tab/>
      </w:r>
      <w:r>
        <w:rPr>
          <w:rFonts w:cs="Arial"/>
        </w:rPr>
        <w:t xml:space="preserve">Wilson filed a pro se </w:t>
      </w:r>
      <w:r w:rsidR="00F55D63">
        <w:rPr>
          <w:rFonts w:cs="Arial"/>
        </w:rPr>
        <w:t>PCR application</w:t>
      </w:r>
      <w:r>
        <w:rPr>
          <w:rFonts w:cs="Arial"/>
        </w:rPr>
        <w:t xml:space="preserve"> on September 21, 2015.  </w:t>
      </w:r>
      <w:r>
        <w:rPr>
          <w:rFonts w:cs="Arial"/>
          <w:color w:val="000000"/>
        </w:rPr>
        <w:t>His sole complaint and request for relief was to be resentenced so that all counts would run concurrently, as the crimes he was convicted of arose out of one act on his part.  On September 22, the State filed its answer, where it stated: “</w:t>
      </w:r>
      <w:r>
        <w:rPr>
          <w:rFonts w:cs="Arial"/>
        </w:rPr>
        <w:t>The Respondent admits that the Applicant threw vomit on 5 Corrections Officers.”</w:t>
      </w:r>
      <w:r>
        <w:rPr>
          <w:rFonts w:cs="Arial"/>
          <w:color w:val="000000"/>
        </w:rPr>
        <w:t xml:space="preserve">  </w:t>
      </w:r>
      <w:r>
        <w:rPr>
          <w:rFonts w:cs="Arial"/>
        </w:rPr>
        <w:t xml:space="preserve">Wilson’s attorney filed an </w:t>
      </w:r>
      <w:r w:rsidR="00C5183E">
        <w:rPr>
          <w:rFonts w:cs="Arial"/>
        </w:rPr>
        <w:t>a</w:t>
      </w:r>
      <w:r>
        <w:rPr>
          <w:rFonts w:cs="Arial"/>
        </w:rPr>
        <w:t xml:space="preserve">mended </w:t>
      </w:r>
      <w:r w:rsidR="00F55D63">
        <w:rPr>
          <w:rFonts w:cs="Arial"/>
        </w:rPr>
        <w:t xml:space="preserve">PCR </w:t>
      </w:r>
      <w:r w:rsidR="00C5183E">
        <w:rPr>
          <w:rFonts w:cs="Arial"/>
        </w:rPr>
        <w:t>a</w:t>
      </w:r>
      <w:r>
        <w:rPr>
          <w:rFonts w:cs="Arial"/>
        </w:rPr>
        <w:t xml:space="preserve">pplication on November 20.  </w:t>
      </w:r>
      <w:r>
        <w:rPr>
          <w:rFonts w:cs="Arial"/>
          <w:color w:val="000000"/>
        </w:rPr>
        <w:t xml:space="preserve">The </w:t>
      </w:r>
      <w:r w:rsidR="007F4A32">
        <w:rPr>
          <w:rFonts w:cs="Arial"/>
          <w:color w:val="000000"/>
        </w:rPr>
        <w:t xml:space="preserve">amended application </w:t>
      </w:r>
      <w:r>
        <w:rPr>
          <w:rFonts w:cs="Arial"/>
          <w:color w:val="000000"/>
        </w:rPr>
        <w:t>included generic claim</w:t>
      </w:r>
      <w:r w:rsidR="00432C6B">
        <w:rPr>
          <w:rFonts w:cs="Arial"/>
          <w:color w:val="000000"/>
        </w:rPr>
        <w:t>s</w:t>
      </w:r>
      <w:r>
        <w:rPr>
          <w:rFonts w:cs="Arial"/>
          <w:color w:val="000000"/>
        </w:rPr>
        <w:t xml:space="preserve"> that the sentences constituted cruel and unusual punishment, there were material facts not previously heard that required vacation of the sentence, and the conviction or sentence was otherwise subject to collateral attack.  Attached to the </w:t>
      </w:r>
      <w:r w:rsidR="007F4A32">
        <w:rPr>
          <w:rFonts w:cs="Arial"/>
          <w:color w:val="000000"/>
        </w:rPr>
        <w:t xml:space="preserve">amended application </w:t>
      </w:r>
      <w:r>
        <w:rPr>
          <w:rFonts w:cs="Arial"/>
          <w:color w:val="000000"/>
        </w:rPr>
        <w:t xml:space="preserve">was Wilson’s affidavit </w:t>
      </w:r>
      <w:r w:rsidR="00910A95">
        <w:rPr>
          <w:rFonts w:cs="Arial"/>
          <w:color w:val="000000"/>
        </w:rPr>
        <w:t>that</w:t>
      </w:r>
      <w:r>
        <w:rPr>
          <w:rFonts w:cs="Arial"/>
          <w:color w:val="000000"/>
        </w:rPr>
        <w:t xml:space="preserve"> contained assertions his trial counsel</w:t>
      </w:r>
      <w:r w:rsidR="000074C8">
        <w:rPr>
          <w:rFonts w:cs="Arial"/>
          <w:color w:val="000000"/>
        </w:rPr>
        <w:t xml:space="preserve"> </w:t>
      </w:r>
      <w:r>
        <w:rPr>
          <w:rFonts w:cs="Arial"/>
          <w:color w:val="000000"/>
        </w:rPr>
        <w:t xml:space="preserve">was ineffective.  The State did not file an answer to the amended application. </w:t>
      </w:r>
      <w:r w:rsidR="00C5183E">
        <w:rPr>
          <w:rFonts w:cs="Arial"/>
          <w:color w:val="000000"/>
        </w:rPr>
        <w:t xml:space="preserve"> </w:t>
      </w:r>
      <w:r>
        <w:rPr>
          <w:rFonts w:cs="Arial"/>
        </w:rPr>
        <w:t>The matter was deemed submitted to the district court on October 17, 2016</w:t>
      </w:r>
      <w:r w:rsidR="00C5183E">
        <w:rPr>
          <w:rFonts w:cs="Arial"/>
        </w:rPr>
        <w:t>,</w:t>
      </w:r>
      <w:r>
        <w:rPr>
          <w:rFonts w:cs="Arial"/>
        </w:rPr>
        <w:t xml:space="preserve"> on depositions of Wilson and his criminal trial attorney, exhibits, </w:t>
      </w:r>
      <w:r>
        <w:rPr>
          <w:rFonts w:cs="Arial"/>
        </w:rPr>
        <w:lastRenderedPageBreak/>
        <w:t>as well as the underlying criminal file.</w:t>
      </w:r>
      <w:r w:rsidR="00CA2D35">
        <w:rPr>
          <w:rFonts w:cs="Arial"/>
        </w:rPr>
        <w:t xml:space="preserve">  </w:t>
      </w:r>
      <w:r>
        <w:rPr>
          <w:rFonts w:cs="Arial"/>
        </w:rPr>
        <w:t>On December 9, the district court filed its ruling, denying Wilson’s PCR application</w:t>
      </w:r>
    </w:p>
    <w:p w14:paraId="3769C080" w14:textId="616C5884" w:rsidR="00C80DBF" w:rsidRPr="0006603D" w:rsidRDefault="00831ED8" w:rsidP="00831ED8">
      <w:pPr>
        <w:autoSpaceDE w:val="0"/>
        <w:autoSpaceDN w:val="0"/>
        <w:adjustRightInd w:val="0"/>
        <w:spacing w:line="480" w:lineRule="auto"/>
        <w:rPr>
          <w:rFonts w:cs="Arial"/>
          <w:b/>
          <w:color w:val="000000"/>
        </w:rPr>
      </w:pPr>
      <w:r w:rsidRPr="0006603D">
        <w:rPr>
          <w:rFonts w:cs="Arial"/>
          <w:b/>
          <w:color w:val="000000"/>
        </w:rPr>
        <w:t xml:space="preserve">II. </w:t>
      </w:r>
      <w:r w:rsidR="00C80DBF" w:rsidRPr="0006603D">
        <w:rPr>
          <w:rFonts w:cs="Arial"/>
          <w:b/>
          <w:color w:val="000000"/>
        </w:rPr>
        <w:t xml:space="preserve">Factual </w:t>
      </w:r>
      <w:r w:rsidR="00BE5337" w:rsidRPr="0006603D">
        <w:rPr>
          <w:rFonts w:cs="Arial"/>
          <w:b/>
          <w:color w:val="000000"/>
        </w:rPr>
        <w:t>B</w:t>
      </w:r>
      <w:r w:rsidR="00C80DBF" w:rsidRPr="0006603D">
        <w:rPr>
          <w:rFonts w:cs="Arial"/>
          <w:b/>
          <w:color w:val="000000"/>
        </w:rPr>
        <w:t>ackground.</w:t>
      </w:r>
    </w:p>
    <w:p w14:paraId="6F0ABC93" w14:textId="0E29D72E" w:rsidR="00C80DBF" w:rsidRDefault="00C80DBF" w:rsidP="00C80DBF">
      <w:pPr>
        <w:autoSpaceDE w:val="0"/>
        <w:autoSpaceDN w:val="0"/>
        <w:adjustRightInd w:val="0"/>
        <w:spacing w:line="480" w:lineRule="auto"/>
        <w:ind w:firstLine="720"/>
        <w:rPr>
          <w:rFonts w:cs="Arial"/>
          <w:color w:val="000000"/>
        </w:rPr>
      </w:pPr>
      <w:r>
        <w:rPr>
          <w:rFonts w:cs="Arial"/>
        </w:rPr>
        <w:t>Wilson was serving a misdemeanor sentence in the Des Moines County Jail on April 1</w:t>
      </w:r>
      <w:r w:rsidR="00AA2EA7">
        <w:rPr>
          <w:rFonts w:cs="Arial"/>
        </w:rPr>
        <w:t>2</w:t>
      </w:r>
      <w:r>
        <w:rPr>
          <w:rFonts w:cs="Arial"/>
        </w:rPr>
        <w:t>, 2011.  On that date</w:t>
      </w:r>
      <w:r w:rsidR="00434366">
        <w:rPr>
          <w:rFonts w:cs="Arial"/>
        </w:rPr>
        <w:t>,</w:t>
      </w:r>
      <w:r>
        <w:rPr>
          <w:rFonts w:cs="Arial"/>
        </w:rPr>
        <w:t xml:space="preserve"> he threw a substance at a group of jailers that he admits he had stored in a milk carton in his jail cell.  The charges against him alleged that the substance was urine.  Each count alleged </w:t>
      </w:r>
      <w:r>
        <w:rPr>
          <w:rFonts w:cs="Arial"/>
          <w:color w:val="000000"/>
        </w:rPr>
        <w:t>assault by an inmate, bodily fluids or secretions</w:t>
      </w:r>
      <w:r w:rsidR="009471AA">
        <w:rPr>
          <w:rFonts w:cs="Arial"/>
          <w:color w:val="000000"/>
        </w:rPr>
        <w:t>,</w:t>
      </w:r>
      <w:r>
        <w:rPr>
          <w:rFonts w:cs="Arial"/>
          <w:color w:val="000000"/>
        </w:rPr>
        <w:t xml:space="preserve"> as to each of the five jailers.</w:t>
      </w:r>
      <w:r w:rsidR="009F6B3F">
        <w:rPr>
          <w:rStyle w:val="FootnoteReference"/>
          <w:rFonts w:cs="Arial"/>
        </w:rPr>
        <w:footnoteReference w:id="2"/>
      </w:r>
      <w:r>
        <w:rPr>
          <w:rFonts w:cs="Arial"/>
          <w:color w:val="000000"/>
        </w:rPr>
        <w:t xml:space="preserve"> </w:t>
      </w:r>
      <w:r w:rsidR="00C5183E">
        <w:rPr>
          <w:rFonts w:cs="Arial"/>
          <w:color w:val="000000"/>
        </w:rPr>
        <w:t xml:space="preserve"> </w:t>
      </w:r>
      <w:r>
        <w:rPr>
          <w:rFonts w:cs="Arial"/>
          <w:color w:val="000000"/>
        </w:rPr>
        <w:t>During his criminal trial</w:t>
      </w:r>
      <w:r w:rsidR="00B4049B">
        <w:rPr>
          <w:rFonts w:cs="Arial"/>
          <w:color w:val="000000"/>
        </w:rPr>
        <w:t>,</w:t>
      </w:r>
      <w:r>
        <w:rPr>
          <w:rFonts w:cs="Arial"/>
          <w:color w:val="000000"/>
        </w:rPr>
        <w:t xml:space="preserve"> Wilson claimed that the substance he threw at the jailers was vomit, not urine</w:t>
      </w:r>
      <w:r w:rsidR="00033B0B">
        <w:rPr>
          <w:rFonts w:cs="Arial"/>
          <w:color w:val="000000"/>
        </w:rPr>
        <w:t>, which would not fall within the crime’s definition</w:t>
      </w:r>
      <w:r>
        <w:rPr>
          <w:rFonts w:cs="Arial"/>
          <w:color w:val="000000"/>
        </w:rPr>
        <w:t xml:space="preserve">. </w:t>
      </w:r>
    </w:p>
    <w:p w14:paraId="09F13796" w14:textId="77C47A32" w:rsidR="00C80DBF" w:rsidRDefault="00C80DBF" w:rsidP="00C80DBF">
      <w:pPr>
        <w:autoSpaceDE w:val="0"/>
        <w:autoSpaceDN w:val="0"/>
        <w:adjustRightInd w:val="0"/>
        <w:spacing w:line="480" w:lineRule="auto"/>
        <w:ind w:firstLine="720"/>
        <w:rPr>
          <w:rFonts w:cs="Arial"/>
        </w:rPr>
      </w:pPr>
      <w:r>
        <w:rPr>
          <w:rFonts w:cs="Arial"/>
          <w:color w:val="000000"/>
        </w:rPr>
        <w:t>At trial, the State presented evidence that the substance Wilson threw was urine.</w:t>
      </w:r>
      <w:r w:rsidR="00C5183E">
        <w:rPr>
          <w:rFonts w:cs="Arial"/>
          <w:color w:val="000000"/>
        </w:rPr>
        <w:t xml:space="preserve"> </w:t>
      </w:r>
      <w:r>
        <w:rPr>
          <w:rFonts w:cs="Arial"/>
          <w:color w:val="000000"/>
        </w:rPr>
        <w:t xml:space="preserve"> </w:t>
      </w:r>
      <w:r>
        <w:rPr>
          <w:rFonts w:cs="Arial"/>
        </w:rPr>
        <w:t>Officer Quick testified the substance that Wilson threw splashed on her, and it was watery and smelled like urine.  Sergeant Levinson testified that as he opened the food hatch, Wilson threw liquid from containers he was holding</w:t>
      </w:r>
      <w:r w:rsidR="00C5183E">
        <w:rPr>
          <w:rFonts w:cs="Arial"/>
        </w:rPr>
        <w:t xml:space="preserve"> </w:t>
      </w:r>
      <w:r>
        <w:rPr>
          <w:rFonts w:cs="Arial"/>
        </w:rPr>
        <w:t>and the liquid had a strong odor of urine and “something else that smelled horrible.”  Sergeant Levinson testified that he had moved to his right to avoid a “direct hit” before Wilson threw the urine, but both of his forearms were splattered with the liquid.</w:t>
      </w:r>
      <w:r w:rsidR="00C5183E">
        <w:rPr>
          <w:rFonts w:cs="Arial"/>
        </w:rPr>
        <w:t xml:space="preserve"> </w:t>
      </w:r>
      <w:r>
        <w:rPr>
          <w:rFonts w:cs="Arial"/>
        </w:rPr>
        <w:t xml:space="preserve"> Officer Parker testified that the liquid had a strong odor of urine and added that another substance that remained in a container resembled feces. </w:t>
      </w:r>
      <w:r w:rsidR="00C5183E">
        <w:rPr>
          <w:rFonts w:cs="Arial"/>
        </w:rPr>
        <w:t xml:space="preserve"> </w:t>
      </w:r>
      <w:r>
        <w:rPr>
          <w:rFonts w:cs="Arial"/>
        </w:rPr>
        <w:t xml:space="preserve">Officer Parker was not </w:t>
      </w:r>
      <w:r>
        <w:rPr>
          <w:rFonts w:cs="Arial"/>
        </w:rPr>
        <w:lastRenderedPageBreak/>
        <w:t>touched by the liquid.</w:t>
      </w:r>
      <w:r>
        <w:rPr>
          <w:rStyle w:val="FootnoteReference"/>
          <w:rFonts w:cs="Arial"/>
        </w:rPr>
        <w:footnoteReference w:id="3"/>
      </w:r>
      <w:r>
        <w:rPr>
          <w:rFonts w:cs="Arial"/>
        </w:rPr>
        <w:t xml:space="preserve">  Officer Severs testified the liquid </w:t>
      </w:r>
      <w:r w:rsidR="00C5183E">
        <w:rPr>
          <w:rFonts w:cs="Arial"/>
        </w:rPr>
        <w:t>w</w:t>
      </w:r>
      <w:r>
        <w:rPr>
          <w:rFonts w:cs="Arial"/>
        </w:rPr>
        <w:t xml:space="preserve">as “water looking” and “urine probably,” but did not recall its odor. </w:t>
      </w:r>
      <w:r w:rsidR="00C5183E">
        <w:rPr>
          <w:rFonts w:cs="Arial"/>
        </w:rPr>
        <w:t xml:space="preserve"> </w:t>
      </w:r>
      <w:r>
        <w:rPr>
          <w:rFonts w:cs="Arial"/>
        </w:rPr>
        <w:t>Officer Schneder testified the substance was yellow and smelled like urine and it landed on her right arm, her pant leg, and on her boots.  Officer Smith testified Wilson threw “liquid feces” at the officers, which he described as a “liquid, kind of creamy-colored” with a definite smell of urine.</w:t>
      </w:r>
    </w:p>
    <w:p w14:paraId="05EE236D" w14:textId="1B06C1DC" w:rsidR="00C80DBF" w:rsidRDefault="00C80DBF" w:rsidP="00C80DBF">
      <w:pPr>
        <w:autoSpaceDE w:val="0"/>
        <w:autoSpaceDN w:val="0"/>
        <w:adjustRightInd w:val="0"/>
        <w:spacing w:line="480" w:lineRule="auto"/>
        <w:ind w:firstLine="720"/>
        <w:rPr>
          <w:rFonts w:cs="Arial"/>
          <w:color w:val="000000"/>
        </w:rPr>
      </w:pPr>
      <w:r>
        <w:rPr>
          <w:rFonts w:cs="Arial"/>
          <w:color w:val="000000"/>
        </w:rPr>
        <w:t xml:space="preserve">Based upon </w:t>
      </w:r>
      <w:r w:rsidR="00C5183E">
        <w:rPr>
          <w:rFonts w:cs="Arial"/>
          <w:color w:val="000000"/>
        </w:rPr>
        <w:t xml:space="preserve">its </w:t>
      </w:r>
      <w:r>
        <w:rPr>
          <w:rFonts w:cs="Arial"/>
          <w:color w:val="000000"/>
        </w:rPr>
        <w:t xml:space="preserve">verdicts, the jury found the substance Wilson threw at the jailers was urine and not vomit as he contended. </w:t>
      </w:r>
      <w:r w:rsidR="00C5183E">
        <w:rPr>
          <w:rFonts w:cs="Arial"/>
          <w:color w:val="000000"/>
        </w:rPr>
        <w:t xml:space="preserve"> </w:t>
      </w:r>
      <w:r>
        <w:rPr>
          <w:rFonts w:cs="Arial"/>
          <w:color w:val="000000"/>
        </w:rPr>
        <w:t xml:space="preserve">The jury convicted Wilson of: </w:t>
      </w:r>
      <w:r w:rsidR="00C5183E">
        <w:rPr>
          <w:rFonts w:cs="Arial"/>
          <w:color w:val="000000"/>
        </w:rPr>
        <w:t>c</w:t>
      </w:r>
      <w:r>
        <w:rPr>
          <w:rFonts w:cs="Arial"/>
          <w:color w:val="000000"/>
        </w:rPr>
        <w:t>ount I</w:t>
      </w:r>
      <w:r w:rsidR="00C5183E">
        <w:rPr>
          <w:rFonts w:cs="Arial"/>
          <w:color w:val="000000"/>
        </w:rPr>
        <w:t>: a</w:t>
      </w:r>
      <w:r>
        <w:rPr>
          <w:rFonts w:cs="Arial"/>
          <w:color w:val="000000"/>
        </w:rPr>
        <w:t xml:space="preserve">ssault on a </w:t>
      </w:r>
      <w:r w:rsidR="00C5183E">
        <w:rPr>
          <w:rFonts w:cs="Arial"/>
          <w:color w:val="000000"/>
        </w:rPr>
        <w:t>j</w:t>
      </w:r>
      <w:r>
        <w:rPr>
          <w:rFonts w:cs="Arial"/>
          <w:color w:val="000000"/>
        </w:rPr>
        <w:t xml:space="preserve">ailer; </w:t>
      </w:r>
      <w:r w:rsidR="00C5183E">
        <w:rPr>
          <w:rFonts w:cs="Arial"/>
          <w:color w:val="000000"/>
        </w:rPr>
        <w:t>c</w:t>
      </w:r>
      <w:r>
        <w:rPr>
          <w:rFonts w:cs="Arial"/>
          <w:color w:val="000000"/>
        </w:rPr>
        <w:t>ount II</w:t>
      </w:r>
      <w:r w:rsidR="00C5183E">
        <w:rPr>
          <w:rFonts w:cs="Arial"/>
          <w:color w:val="000000"/>
        </w:rPr>
        <w:t>:</w:t>
      </w:r>
      <w:r>
        <w:rPr>
          <w:rFonts w:cs="Arial"/>
          <w:color w:val="000000"/>
        </w:rPr>
        <w:t xml:space="preserve"> </w:t>
      </w:r>
      <w:r w:rsidR="00C5183E">
        <w:rPr>
          <w:rFonts w:cs="Arial"/>
          <w:color w:val="000000"/>
        </w:rPr>
        <w:t>a</w:t>
      </w:r>
      <w:r>
        <w:rPr>
          <w:rFonts w:cs="Arial"/>
          <w:color w:val="000000"/>
        </w:rPr>
        <w:t xml:space="preserve">ssault by an </w:t>
      </w:r>
      <w:r w:rsidR="00C5183E">
        <w:rPr>
          <w:rFonts w:cs="Arial"/>
          <w:color w:val="000000"/>
        </w:rPr>
        <w:t>i</w:t>
      </w:r>
      <w:r>
        <w:rPr>
          <w:rFonts w:cs="Arial"/>
          <w:color w:val="000000"/>
        </w:rPr>
        <w:t xml:space="preserve">nmate, </w:t>
      </w:r>
      <w:r w:rsidR="00EC1713">
        <w:rPr>
          <w:rFonts w:cs="Arial"/>
          <w:color w:val="000000"/>
        </w:rPr>
        <w:t>b</w:t>
      </w:r>
      <w:r>
        <w:rPr>
          <w:rFonts w:cs="Arial"/>
          <w:color w:val="000000"/>
        </w:rPr>
        <w:t xml:space="preserve">odily </w:t>
      </w:r>
      <w:r w:rsidR="00C5183E">
        <w:rPr>
          <w:rFonts w:cs="Arial"/>
          <w:color w:val="000000"/>
        </w:rPr>
        <w:t>f</w:t>
      </w:r>
      <w:r>
        <w:rPr>
          <w:rFonts w:cs="Arial"/>
          <w:color w:val="000000"/>
        </w:rPr>
        <w:t xml:space="preserve">luids or </w:t>
      </w:r>
      <w:r w:rsidR="00C5183E">
        <w:rPr>
          <w:rFonts w:cs="Arial"/>
          <w:color w:val="000000"/>
        </w:rPr>
        <w:t>s</w:t>
      </w:r>
      <w:r>
        <w:rPr>
          <w:rFonts w:cs="Arial"/>
          <w:color w:val="000000"/>
        </w:rPr>
        <w:t xml:space="preserve">ecretions; </w:t>
      </w:r>
      <w:r w:rsidR="00C5183E">
        <w:rPr>
          <w:rFonts w:cs="Arial"/>
          <w:color w:val="000000"/>
        </w:rPr>
        <w:t>c</w:t>
      </w:r>
      <w:r>
        <w:rPr>
          <w:rFonts w:cs="Arial"/>
          <w:color w:val="000000"/>
        </w:rPr>
        <w:t>ount III</w:t>
      </w:r>
      <w:r w:rsidR="00C5183E">
        <w:rPr>
          <w:rFonts w:cs="Arial"/>
          <w:color w:val="000000"/>
        </w:rPr>
        <w:t>:</w:t>
      </w:r>
      <w:r>
        <w:rPr>
          <w:rFonts w:cs="Arial"/>
          <w:color w:val="000000"/>
        </w:rPr>
        <w:t xml:space="preserve"> </w:t>
      </w:r>
      <w:r w:rsidR="00C5183E">
        <w:rPr>
          <w:rFonts w:cs="Arial"/>
          <w:color w:val="000000"/>
        </w:rPr>
        <w:t>a</w:t>
      </w:r>
      <w:r>
        <w:rPr>
          <w:rFonts w:cs="Arial"/>
          <w:color w:val="000000"/>
        </w:rPr>
        <w:t xml:space="preserve">ssault on a </w:t>
      </w:r>
      <w:r w:rsidR="00C5183E">
        <w:rPr>
          <w:rFonts w:cs="Arial"/>
          <w:color w:val="000000"/>
        </w:rPr>
        <w:t>j</w:t>
      </w:r>
      <w:r>
        <w:rPr>
          <w:rFonts w:cs="Arial"/>
          <w:color w:val="000000"/>
        </w:rPr>
        <w:t xml:space="preserve">ailer; </w:t>
      </w:r>
      <w:r w:rsidR="00C5183E">
        <w:rPr>
          <w:rFonts w:cs="Arial"/>
          <w:color w:val="000000"/>
        </w:rPr>
        <w:t>c</w:t>
      </w:r>
      <w:r>
        <w:rPr>
          <w:rFonts w:cs="Arial"/>
          <w:color w:val="000000"/>
        </w:rPr>
        <w:t>ount IV</w:t>
      </w:r>
      <w:r w:rsidR="00C5183E">
        <w:rPr>
          <w:rFonts w:cs="Arial"/>
          <w:color w:val="000000"/>
        </w:rPr>
        <w:t>:</w:t>
      </w:r>
      <w:r>
        <w:rPr>
          <w:rFonts w:cs="Arial"/>
          <w:color w:val="000000"/>
        </w:rPr>
        <w:t xml:space="preserve"> </w:t>
      </w:r>
      <w:r w:rsidR="00C5183E">
        <w:rPr>
          <w:rFonts w:cs="Arial"/>
          <w:color w:val="000000"/>
        </w:rPr>
        <w:t>a</w:t>
      </w:r>
      <w:r>
        <w:rPr>
          <w:rFonts w:cs="Arial"/>
          <w:color w:val="000000"/>
        </w:rPr>
        <w:t xml:space="preserve">ssault by an </w:t>
      </w:r>
      <w:r w:rsidR="00C5183E">
        <w:rPr>
          <w:rFonts w:cs="Arial"/>
          <w:color w:val="000000"/>
        </w:rPr>
        <w:t>i</w:t>
      </w:r>
      <w:r>
        <w:rPr>
          <w:rFonts w:cs="Arial"/>
          <w:color w:val="000000"/>
        </w:rPr>
        <w:t xml:space="preserve">nmate, </w:t>
      </w:r>
      <w:r w:rsidR="00C5183E">
        <w:rPr>
          <w:rFonts w:cs="Arial"/>
          <w:color w:val="000000"/>
        </w:rPr>
        <w:t>b</w:t>
      </w:r>
      <w:r>
        <w:rPr>
          <w:rFonts w:cs="Arial"/>
          <w:color w:val="000000"/>
        </w:rPr>
        <w:t xml:space="preserve">odily </w:t>
      </w:r>
      <w:r w:rsidR="00C5183E">
        <w:rPr>
          <w:rFonts w:cs="Arial"/>
          <w:color w:val="000000"/>
        </w:rPr>
        <w:t>f</w:t>
      </w:r>
      <w:r>
        <w:rPr>
          <w:rFonts w:cs="Arial"/>
          <w:color w:val="000000"/>
        </w:rPr>
        <w:t xml:space="preserve">luids or </w:t>
      </w:r>
      <w:r w:rsidR="00C5183E">
        <w:rPr>
          <w:rFonts w:cs="Arial"/>
          <w:color w:val="000000"/>
        </w:rPr>
        <w:t>s</w:t>
      </w:r>
      <w:r>
        <w:rPr>
          <w:rFonts w:cs="Arial"/>
          <w:color w:val="000000"/>
        </w:rPr>
        <w:t xml:space="preserve">ecretions; and </w:t>
      </w:r>
      <w:r w:rsidR="00C5183E">
        <w:rPr>
          <w:rFonts w:cs="Arial"/>
          <w:color w:val="000000"/>
        </w:rPr>
        <w:t>c</w:t>
      </w:r>
      <w:r>
        <w:rPr>
          <w:rFonts w:cs="Arial"/>
          <w:color w:val="000000"/>
        </w:rPr>
        <w:t>ount V</w:t>
      </w:r>
      <w:r w:rsidR="00C5183E">
        <w:rPr>
          <w:rFonts w:cs="Arial"/>
          <w:color w:val="000000"/>
        </w:rPr>
        <w:t>:</w:t>
      </w:r>
      <w:r>
        <w:rPr>
          <w:rFonts w:cs="Arial"/>
          <w:color w:val="000000"/>
        </w:rPr>
        <w:t xml:space="preserve"> </w:t>
      </w:r>
      <w:r w:rsidR="00C5183E">
        <w:rPr>
          <w:rFonts w:cs="Arial"/>
          <w:color w:val="000000"/>
        </w:rPr>
        <w:t>a</w:t>
      </w:r>
      <w:r>
        <w:rPr>
          <w:rFonts w:cs="Arial"/>
          <w:color w:val="000000"/>
        </w:rPr>
        <w:t xml:space="preserve">ssault by an </w:t>
      </w:r>
      <w:r w:rsidR="00C5183E">
        <w:rPr>
          <w:rFonts w:cs="Arial"/>
          <w:color w:val="000000"/>
        </w:rPr>
        <w:t>i</w:t>
      </w:r>
      <w:r>
        <w:rPr>
          <w:rFonts w:cs="Arial"/>
          <w:color w:val="000000"/>
        </w:rPr>
        <w:t xml:space="preserve">nmate, </w:t>
      </w:r>
      <w:r w:rsidR="00C5183E">
        <w:rPr>
          <w:rFonts w:cs="Arial"/>
          <w:color w:val="000000"/>
        </w:rPr>
        <w:t>b</w:t>
      </w:r>
      <w:r>
        <w:rPr>
          <w:rFonts w:cs="Arial"/>
          <w:color w:val="000000"/>
        </w:rPr>
        <w:t xml:space="preserve">odily </w:t>
      </w:r>
      <w:r w:rsidR="00C5183E">
        <w:rPr>
          <w:rFonts w:cs="Arial"/>
          <w:color w:val="000000"/>
        </w:rPr>
        <w:t>f</w:t>
      </w:r>
      <w:r>
        <w:rPr>
          <w:rFonts w:cs="Arial"/>
          <w:color w:val="000000"/>
        </w:rPr>
        <w:t xml:space="preserve">luids or </w:t>
      </w:r>
      <w:r w:rsidR="00C5183E">
        <w:rPr>
          <w:rFonts w:cs="Arial"/>
          <w:color w:val="000000"/>
        </w:rPr>
        <w:t>s</w:t>
      </w:r>
      <w:r>
        <w:rPr>
          <w:rFonts w:cs="Arial"/>
          <w:color w:val="000000"/>
        </w:rPr>
        <w:t xml:space="preserve">ecretions.  Counts I and III were lesser-included offenses constituting serious misdemeanors.  Counts II, IV, and V were class </w:t>
      </w:r>
      <w:r w:rsidR="00C5183E">
        <w:rPr>
          <w:rFonts w:cs="Arial"/>
          <w:color w:val="000000"/>
        </w:rPr>
        <w:t>“</w:t>
      </w:r>
      <w:r>
        <w:rPr>
          <w:rFonts w:cs="Arial"/>
          <w:color w:val="000000"/>
        </w:rPr>
        <w:t>D</w:t>
      </w:r>
      <w:r w:rsidR="00C5183E">
        <w:rPr>
          <w:rFonts w:cs="Arial"/>
          <w:color w:val="000000"/>
        </w:rPr>
        <w:t>”</w:t>
      </w:r>
      <w:r>
        <w:rPr>
          <w:rFonts w:cs="Arial"/>
          <w:color w:val="000000"/>
        </w:rPr>
        <w:t xml:space="preserve"> felonies.  Wilson was sentenced on November 21, 2011, to a term of incarceration of five years on each of the three class </w:t>
      </w:r>
      <w:r w:rsidR="00C5183E">
        <w:rPr>
          <w:rFonts w:cs="Arial"/>
          <w:color w:val="000000"/>
        </w:rPr>
        <w:t>“</w:t>
      </w:r>
      <w:r>
        <w:rPr>
          <w:rFonts w:cs="Arial"/>
          <w:color w:val="000000"/>
        </w:rPr>
        <w:t>D</w:t>
      </w:r>
      <w:r w:rsidR="00C5183E">
        <w:rPr>
          <w:rFonts w:cs="Arial"/>
          <w:color w:val="000000"/>
        </w:rPr>
        <w:t>”</w:t>
      </w:r>
      <w:r>
        <w:rPr>
          <w:rFonts w:cs="Arial"/>
          <w:color w:val="000000"/>
        </w:rPr>
        <w:t xml:space="preserve"> felonies, and one year of incarceration on each of the two serious misdemeanors, all to be served consecutively, for a total of </w:t>
      </w:r>
      <w:r w:rsidR="00C5183E">
        <w:rPr>
          <w:rFonts w:cs="Arial"/>
          <w:color w:val="000000"/>
        </w:rPr>
        <w:t>seventeen</w:t>
      </w:r>
      <w:r>
        <w:rPr>
          <w:rFonts w:cs="Arial"/>
          <w:color w:val="000000"/>
        </w:rPr>
        <w:t xml:space="preserve"> years.</w:t>
      </w:r>
    </w:p>
    <w:p w14:paraId="1BD1CD57" w14:textId="0C2ADC3E" w:rsidR="00C80DBF" w:rsidRDefault="00C80DBF" w:rsidP="00C80DBF">
      <w:pPr>
        <w:autoSpaceDE w:val="0"/>
        <w:autoSpaceDN w:val="0"/>
        <w:adjustRightInd w:val="0"/>
        <w:spacing w:line="480" w:lineRule="auto"/>
        <w:ind w:firstLine="720"/>
        <w:rPr>
          <w:rFonts w:cs="Arial"/>
        </w:rPr>
      </w:pPr>
      <w:r>
        <w:rPr>
          <w:rFonts w:cs="Arial"/>
          <w:color w:val="000000"/>
        </w:rPr>
        <w:t xml:space="preserve">Wilson appealed his convictions and this court affirmed. </w:t>
      </w:r>
      <w:r w:rsidR="00C5183E">
        <w:rPr>
          <w:rFonts w:cs="Arial"/>
          <w:color w:val="000000"/>
        </w:rPr>
        <w:t xml:space="preserve"> </w:t>
      </w:r>
      <w:r>
        <w:rPr>
          <w:rFonts w:cs="Arial"/>
          <w:i/>
          <w:color w:val="000000"/>
        </w:rPr>
        <w:t>State v. Wilson</w:t>
      </w:r>
      <w:r w:rsidRPr="00EC1713">
        <w:rPr>
          <w:rFonts w:cs="Arial"/>
          <w:color w:val="000000"/>
        </w:rPr>
        <w:t>,</w:t>
      </w:r>
      <w:r w:rsidR="00C5183E">
        <w:rPr>
          <w:rFonts w:cs="Arial"/>
          <w:i/>
          <w:color w:val="000000"/>
        </w:rPr>
        <w:t xml:space="preserve"> </w:t>
      </w:r>
      <w:r w:rsidR="00C5183E" w:rsidRPr="00EC1713">
        <w:rPr>
          <w:rFonts w:cs="Arial"/>
          <w:color w:val="000000"/>
        </w:rPr>
        <w:t>No. 11-2014</w:t>
      </w:r>
      <w:r w:rsidR="00C5183E">
        <w:rPr>
          <w:rFonts w:cs="Arial"/>
          <w:color w:val="000000"/>
        </w:rPr>
        <w:t>,</w:t>
      </w:r>
      <w:r>
        <w:rPr>
          <w:rFonts w:cs="Arial"/>
          <w:i/>
          <w:color w:val="000000"/>
        </w:rPr>
        <w:t xml:space="preserve"> </w:t>
      </w:r>
      <w:r>
        <w:t>2013 WL 988921</w:t>
      </w:r>
      <w:r w:rsidR="00C5183E">
        <w:t>, at *3</w:t>
      </w:r>
      <w:r>
        <w:t xml:space="preserve"> (Iowa Ct. App. Mar</w:t>
      </w:r>
      <w:r w:rsidR="00C5183E">
        <w:t>.</w:t>
      </w:r>
      <w:r>
        <w:t xml:space="preserve"> 13, 2013).  </w:t>
      </w:r>
      <w:r>
        <w:rPr>
          <w:rFonts w:cs="Arial"/>
        </w:rPr>
        <w:t>We determined that the jury received sufficient evidence to support the convictions, noting</w:t>
      </w:r>
      <w:r w:rsidR="006E221C">
        <w:rPr>
          <w:rFonts w:cs="Arial"/>
        </w:rPr>
        <w:t>:</w:t>
      </w:r>
      <w:r>
        <w:rPr>
          <w:rFonts w:cs="Arial"/>
        </w:rPr>
        <w:t xml:space="preserve"> </w:t>
      </w:r>
    </w:p>
    <w:p w14:paraId="7BE35FD4" w14:textId="4790C487" w:rsidR="009043F4" w:rsidRDefault="00C5183E" w:rsidP="0006603D">
      <w:pPr>
        <w:pStyle w:val="BlockQuote"/>
      </w:pPr>
      <w:r w:rsidRPr="0006603D">
        <w:tab/>
      </w:r>
      <w:r w:rsidR="00C80DBF" w:rsidRPr="0006603D">
        <w:t>At</w:t>
      </w:r>
      <w:r w:rsidR="00EC1713" w:rsidRPr="0006603D">
        <w:t xml:space="preserve"> trial, the jury heard officers’</w:t>
      </w:r>
      <w:r w:rsidR="00C80DBF" w:rsidRPr="0006603D">
        <w:t xml:space="preserve"> testimony, testimony from Wilson, and watched a video of the incident. </w:t>
      </w:r>
      <w:r w:rsidRPr="0006603D">
        <w:t xml:space="preserve"> </w:t>
      </w:r>
      <w:r w:rsidR="00C80DBF" w:rsidRPr="0006603D">
        <w:t xml:space="preserve">The jury found Wilson guilty of three counts of “D” felony assault by an inmate (bodily fluids or secretions), and two counts of the lesser-included offense of assault on a jailer, apparently agreeing with Wilson that not all of the </w:t>
      </w:r>
      <w:r w:rsidR="00C80DBF" w:rsidRPr="0006603D">
        <w:lastRenderedPageBreak/>
        <w:t xml:space="preserve">officers were hit by the bodily fluids. </w:t>
      </w:r>
      <w:r w:rsidRPr="0006603D">
        <w:t xml:space="preserve"> </w:t>
      </w:r>
      <w:r w:rsidR="00C80DBF" w:rsidRPr="0006603D">
        <w:t>The jury received sufficient evidence to support Wilson</w:t>
      </w:r>
      <w:r w:rsidR="006B534B">
        <w:t>’</w:t>
      </w:r>
      <w:r w:rsidR="00C80DBF" w:rsidRPr="0006603D">
        <w:t>s convictions.</w:t>
      </w:r>
    </w:p>
    <w:p w14:paraId="36913BF7" w14:textId="77777777" w:rsidR="0006603D" w:rsidRPr="0006603D" w:rsidRDefault="0006603D" w:rsidP="0006603D">
      <w:pPr>
        <w:pStyle w:val="BlockQuote"/>
      </w:pPr>
    </w:p>
    <w:p w14:paraId="3D54ADEF" w14:textId="01267AE2" w:rsidR="006F6AEF" w:rsidRPr="0006603D" w:rsidRDefault="00C5183E" w:rsidP="009043F4">
      <w:pPr>
        <w:shd w:val="clear" w:color="auto" w:fill="FFFFFF"/>
        <w:jc w:val="left"/>
        <w:rPr>
          <w:rFonts w:cs="Arial"/>
          <w:i/>
          <w:color w:val="000000"/>
        </w:rPr>
      </w:pPr>
      <w:r w:rsidRPr="0006603D">
        <w:rPr>
          <w:rFonts w:cs="Arial"/>
          <w:i/>
          <w:color w:val="000000"/>
        </w:rPr>
        <w:t xml:space="preserve">Id. </w:t>
      </w:r>
    </w:p>
    <w:p w14:paraId="7CB639D6" w14:textId="77777777" w:rsidR="0006603D" w:rsidRDefault="0006603D" w:rsidP="0006603D">
      <w:pPr>
        <w:pStyle w:val="BlockQuote"/>
        <w:ind w:left="0"/>
        <w:rPr>
          <w:color w:val="000000"/>
        </w:rPr>
      </w:pPr>
    </w:p>
    <w:p w14:paraId="193386C6" w14:textId="3B84E34D" w:rsidR="00831ED8" w:rsidRPr="0006603D" w:rsidRDefault="00831ED8" w:rsidP="0006603D">
      <w:pPr>
        <w:pStyle w:val="BlockQuote"/>
        <w:ind w:left="0"/>
        <w:rPr>
          <w:b/>
        </w:rPr>
      </w:pPr>
      <w:r w:rsidRPr="0006603D">
        <w:rPr>
          <w:b/>
        </w:rPr>
        <w:t xml:space="preserve">III. </w:t>
      </w:r>
      <w:r w:rsidR="00AC2C56" w:rsidRPr="0006603D">
        <w:rPr>
          <w:b/>
        </w:rPr>
        <w:t xml:space="preserve">Preservation of </w:t>
      </w:r>
      <w:r w:rsidR="00BE5337" w:rsidRPr="0006603D">
        <w:rPr>
          <w:b/>
        </w:rPr>
        <w:t>E</w:t>
      </w:r>
      <w:r w:rsidR="00AC2C56" w:rsidRPr="0006603D">
        <w:rPr>
          <w:b/>
        </w:rPr>
        <w:t>rror.</w:t>
      </w:r>
    </w:p>
    <w:p w14:paraId="55ECFAA8" w14:textId="77777777" w:rsidR="00831ED8" w:rsidRPr="00831ED8" w:rsidRDefault="00831ED8" w:rsidP="0006603D">
      <w:pPr>
        <w:pStyle w:val="BlockQuote"/>
      </w:pPr>
    </w:p>
    <w:p w14:paraId="327148ED" w14:textId="68C623CF" w:rsidR="00376D80" w:rsidRPr="00C5183E" w:rsidRDefault="00CA2D35" w:rsidP="00831ED8">
      <w:pPr>
        <w:tabs>
          <w:tab w:val="clear" w:pos="720"/>
        </w:tabs>
        <w:autoSpaceDE w:val="0"/>
        <w:autoSpaceDN w:val="0"/>
        <w:adjustRightInd w:val="0"/>
        <w:spacing w:line="480" w:lineRule="auto"/>
        <w:ind w:firstLine="360"/>
      </w:pPr>
      <w:r w:rsidRPr="00C5183E">
        <w:rPr>
          <w:rFonts w:cs="Arial"/>
        </w:rPr>
        <w:t>In his trial brief, Wilson only argued the issues related to his tr</w:t>
      </w:r>
      <w:r w:rsidR="003B2182" w:rsidRPr="00C5183E">
        <w:rPr>
          <w:rFonts w:cs="Arial"/>
        </w:rPr>
        <w:t>ial counsel being ineffective.</w:t>
      </w:r>
      <w:r w:rsidR="00D263D3" w:rsidRPr="00C5183E">
        <w:rPr>
          <w:rFonts w:cs="Arial"/>
        </w:rPr>
        <w:t xml:space="preserve">  </w:t>
      </w:r>
      <w:r w:rsidR="00376D80" w:rsidRPr="00C5183E">
        <w:t>The trial court state</w:t>
      </w:r>
      <w:r w:rsidR="00593270" w:rsidRPr="00C5183E">
        <w:t>d</w:t>
      </w:r>
      <w:r w:rsidR="00376D80" w:rsidRPr="00C5183E">
        <w:t xml:space="preserve"> in its ruling:</w:t>
      </w:r>
    </w:p>
    <w:p w14:paraId="66B725FB" w14:textId="422377B7" w:rsidR="00376D80" w:rsidRPr="0006603D" w:rsidRDefault="00C5183E" w:rsidP="0006603D">
      <w:pPr>
        <w:pStyle w:val="BlockQuote"/>
      </w:pPr>
      <w:r w:rsidRPr="0006603D">
        <w:tab/>
      </w:r>
      <w:r w:rsidR="00376D80" w:rsidRPr="0006603D">
        <w:t>The Applicant</w:t>
      </w:r>
      <w:r w:rsidR="00BE5337" w:rsidRPr="0006603D">
        <w:t>’</w:t>
      </w:r>
      <w:r w:rsidR="00376D80" w:rsidRPr="0006603D">
        <w:t>s brief filed as the final argument in this action was a recitation of the various ways in which the Applicant asserts trial counsel was ineffective.  No other challenges to the Applicant</w:t>
      </w:r>
      <w:r w:rsidR="00BE5337" w:rsidRPr="0006603D">
        <w:t>’</w:t>
      </w:r>
      <w:r w:rsidR="00376D80" w:rsidRPr="0006603D">
        <w:t>s conviction or sentence were presented in the final brief.</w:t>
      </w:r>
    </w:p>
    <w:p w14:paraId="2FA00B7A" w14:textId="5698D211" w:rsidR="00376D80" w:rsidRPr="0006603D" w:rsidRDefault="00C5183E" w:rsidP="0006603D">
      <w:pPr>
        <w:pStyle w:val="BlockQuote"/>
      </w:pPr>
      <w:r w:rsidRPr="0006603D">
        <w:tab/>
      </w:r>
      <w:r w:rsidR="00376D80" w:rsidRPr="0006603D">
        <w:t xml:space="preserve">. . . </w:t>
      </w:r>
      <w:r w:rsidR="00EC1713" w:rsidRPr="0006603D">
        <w:t>.</w:t>
      </w:r>
    </w:p>
    <w:p w14:paraId="29E50B48" w14:textId="28C11DBC" w:rsidR="00376D80" w:rsidRPr="0006603D" w:rsidRDefault="00C5183E" w:rsidP="0006603D">
      <w:pPr>
        <w:pStyle w:val="BlockQuote"/>
      </w:pPr>
      <w:r w:rsidRPr="0006603D">
        <w:tab/>
      </w:r>
      <w:r w:rsidR="00376D80" w:rsidRPr="0006603D">
        <w:t>Based upon the foregoing, the record before the court is that the sole challenge the Applicant has in this postconviction relief action is that trial counsel was ineffective.  The various grounds asserted are different ways in which counsel is alleged to have been ineffective.  The Applicant has not presented any authority to support a challenge to the court</w:t>
      </w:r>
      <w:r w:rsidR="00BE5337" w:rsidRPr="0006603D">
        <w:t>’</w:t>
      </w:r>
      <w:r w:rsidR="00376D80" w:rsidRPr="0006603D">
        <w:t>s imposition of consecutive sentences.</w:t>
      </w:r>
    </w:p>
    <w:p w14:paraId="22D2CC66" w14:textId="157354EC" w:rsidR="00071D38" w:rsidRPr="0006603D" w:rsidRDefault="00C5183E" w:rsidP="0006603D">
      <w:pPr>
        <w:pStyle w:val="BlockQuote"/>
      </w:pPr>
      <w:r w:rsidRPr="0006603D">
        <w:tab/>
      </w:r>
      <w:r w:rsidR="00071D38" w:rsidRPr="0006603D">
        <w:t>. . .</w:t>
      </w:r>
      <w:r w:rsidRPr="0006603D">
        <w:t xml:space="preserve"> .</w:t>
      </w:r>
    </w:p>
    <w:p w14:paraId="0BF82DE3" w14:textId="17D04C55" w:rsidR="00071D38" w:rsidRPr="0006603D" w:rsidRDefault="00C5183E" w:rsidP="0006603D">
      <w:pPr>
        <w:pStyle w:val="BlockQuote"/>
      </w:pPr>
      <w:r w:rsidRPr="0006603D">
        <w:tab/>
      </w:r>
      <w:r w:rsidR="00071D38" w:rsidRPr="0006603D">
        <w:t xml:space="preserve">In his original Application, the Applicant also asserted that his sentence was unconstitutional because he was sentenced on five counts of assault when he only performed one act. </w:t>
      </w:r>
      <w:r w:rsidR="00BE5337" w:rsidRPr="0006603D">
        <w:t xml:space="preserve"> </w:t>
      </w:r>
      <w:r w:rsidR="00071D38" w:rsidRPr="0006603D">
        <w:t xml:space="preserve">No legal argument was presented to the court on this issue. </w:t>
      </w:r>
      <w:r w:rsidR="00BE5337" w:rsidRPr="0006603D">
        <w:t xml:space="preserve"> </w:t>
      </w:r>
      <w:r w:rsidR="00071D38" w:rsidRPr="0006603D">
        <w:t>Even though this claim may not be preserved, the court will briefly address the merits of it.</w:t>
      </w:r>
      <w:r w:rsidR="003B2182" w:rsidRPr="0006603D">
        <w:rPr>
          <w:rStyle w:val="FootnoteReference"/>
        </w:rPr>
        <w:footnoteReference w:id="4"/>
      </w:r>
      <w:r w:rsidR="009336C8" w:rsidRPr="0006603D">
        <w:t xml:space="preserve"> </w:t>
      </w:r>
    </w:p>
    <w:p w14:paraId="3B31B87F" w14:textId="77777777" w:rsidR="00C5183E" w:rsidRDefault="00C5183E" w:rsidP="0006603D">
      <w:pPr>
        <w:pStyle w:val="BlockQuote"/>
      </w:pPr>
    </w:p>
    <w:p w14:paraId="0E04947D" w14:textId="2D0D11D3" w:rsidR="009043F4" w:rsidRPr="00170AF2" w:rsidRDefault="009043F4" w:rsidP="009336C8">
      <w:pPr>
        <w:tabs>
          <w:tab w:val="clear" w:pos="720"/>
        </w:tabs>
        <w:autoSpaceDE w:val="0"/>
        <w:autoSpaceDN w:val="0"/>
        <w:adjustRightInd w:val="0"/>
        <w:spacing w:line="480" w:lineRule="auto"/>
        <w:rPr>
          <w:rFonts w:cs="Arial"/>
        </w:rPr>
      </w:pPr>
      <w:r>
        <w:tab/>
      </w:r>
      <w:r w:rsidR="00874B94">
        <w:rPr>
          <w:rFonts w:cs="Arial"/>
        </w:rPr>
        <w:t xml:space="preserve">Wilson did not file a motion to enlarge or amend </w:t>
      </w:r>
      <w:r w:rsidR="00033B0B">
        <w:rPr>
          <w:rFonts w:cs="Arial"/>
        </w:rPr>
        <w:t xml:space="preserve">the trial court’s ruling </w:t>
      </w:r>
      <w:r w:rsidR="00874B94">
        <w:rPr>
          <w:rFonts w:cs="Arial"/>
        </w:rPr>
        <w:t>under Iowa Rule of Civil Procedure 1.904(2</w:t>
      </w:r>
      <w:r w:rsidR="00C63D76">
        <w:rPr>
          <w:rFonts w:cs="Arial"/>
        </w:rPr>
        <w:t>)</w:t>
      </w:r>
      <w:r w:rsidR="00874B94">
        <w:rPr>
          <w:rFonts w:cs="Arial"/>
        </w:rPr>
        <w:t>.  I</w:t>
      </w:r>
      <w:r>
        <w:rPr>
          <w:rFonts w:cs="Arial"/>
          <w:color w:val="000000"/>
        </w:rPr>
        <w:t>n his appel</w:t>
      </w:r>
      <w:r w:rsidR="00E4286F">
        <w:rPr>
          <w:rFonts w:cs="Arial"/>
          <w:color w:val="000000"/>
        </w:rPr>
        <w:t>late</w:t>
      </w:r>
      <w:r>
        <w:rPr>
          <w:rFonts w:cs="Arial"/>
          <w:color w:val="000000"/>
        </w:rPr>
        <w:t xml:space="preserve"> brief</w:t>
      </w:r>
      <w:r w:rsidR="00E4286F">
        <w:rPr>
          <w:rFonts w:cs="Arial"/>
          <w:color w:val="000000"/>
        </w:rPr>
        <w:t>,</w:t>
      </w:r>
      <w:r>
        <w:rPr>
          <w:rFonts w:cs="Arial"/>
          <w:color w:val="000000"/>
        </w:rPr>
        <w:t xml:space="preserve"> </w:t>
      </w:r>
      <w:r w:rsidR="00874B94">
        <w:rPr>
          <w:rFonts w:cs="Arial"/>
          <w:color w:val="000000"/>
        </w:rPr>
        <w:t xml:space="preserve">Wilson </w:t>
      </w:r>
      <w:r>
        <w:rPr>
          <w:rFonts w:cs="Arial"/>
          <w:color w:val="000000"/>
        </w:rPr>
        <w:t xml:space="preserve">acknowledges that the trial court in ruling on </w:t>
      </w:r>
      <w:r w:rsidR="00144A00">
        <w:rPr>
          <w:rFonts w:cs="Arial"/>
          <w:color w:val="000000"/>
        </w:rPr>
        <w:t>his</w:t>
      </w:r>
      <w:r>
        <w:rPr>
          <w:rFonts w:cs="Arial"/>
          <w:color w:val="000000"/>
        </w:rPr>
        <w:t xml:space="preserve"> PCR application </w:t>
      </w:r>
      <w:r w:rsidRPr="00BA293D">
        <w:rPr>
          <w:rFonts w:cs="Arial"/>
          <w:color w:val="000000"/>
        </w:rPr>
        <w:t>“</w:t>
      </w:r>
      <w:r w:rsidRPr="00BA293D">
        <w:rPr>
          <w:rFonts w:cs="Arial"/>
        </w:rPr>
        <w:t>did not address the pro se</w:t>
      </w:r>
      <w:r>
        <w:rPr>
          <w:rFonts w:cs="Arial"/>
        </w:rPr>
        <w:t xml:space="preserve"> </w:t>
      </w:r>
      <w:r w:rsidRPr="00BA293D">
        <w:rPr>
          <w:rFonts w:cs="Arial"/>
        </w:rPr>
        <w:t>application filed by Wilson on September 21, 2015, nor did it</w:t>
      </w:r>
      <w:r>
        <w:rPr>
          <w:rFonts w:cs="Arial"/>
        </w:rPr>
        <w:t xml:space="preserve"> </w:t>
      </w:r>
      <w:r w:rsidRPr="00BA293D">
        <w:rPr>
          <w:rFonts w:cs="Arial"/>
        </w:rPr>
        <w:t>address the State’s admissions that the substance thrown by</w:t>
      </w:r>
      <w:r>
        <w:rPr>
          <w:rFonts w:cs="Arial"/>
        </w:rPr>
        <w:t xml:space="preserve"> </w:t>
      </w:r>
      <w:r w:rsidRPr="00BA293D">
        <w:rPr>
          <w:rFonts w:cs="Arial"/>
        </w:rPr>
        <w:t>Wilson on April 12, 2010 was vomit.</w:t>
      </w:r>
      <w:r>
        <w:rPr>
          <w:rFonts w:cs="Arial"/>
        </w:rPr>
        <w:t xml:space="preserve">”  </w:t>
      </w:r>
      <w:r w:rsidR="00170AF2">
        <w:rPr>
          <w:rFonts w:cs="Arial"/>
        </w:rPr>
        <w:t xml:space="preserve">Despite this </w:t>
      </w:r>
      <w:r w:rsidR="00874B94">
        <w:rPr>
          <w:rFonts w:cs="Arial"/>
        </w:rPr>
        <w:t>concession</w:t>
      </w:r>
      <w:r w:rsidR="00170AF2">
        <w:rPr>
          <w:rFonts w:cs="Arial"/>
        </w:rPr>
        <w:t xml:space="preserve">, Wilson argues three issues on appeal: (1) </w:t>
      </w:r>
      <w:r w:rsidR="00593270">
        <w:rPr>
          <w:rFonts w:cs="Arial"/>
        </w:rPr>
        <w:t xml:space="preserve">that </w:t>
      </w:r>
      <w:r w:rsidR="00B944D0">
        <w:rPr>
          <w:rFonts w:cs="Arial"/>
        </w:rPr>
        <w:t xml:space="preserve">it was </w:t>
      </w:r>
      <w:r w:rsidR="00170AF2" w:rsidRPr="00170AF2">
        <w:rPr>
          <w:rFonts w:cs="Arial"/>
        </w:rPr>
        <w:lastRenderedPageBreak/>
        <w:t>vomit</w:t>
      </w:r>
      <w:r w:rsidR="00D424F0">
        <w:rPr>
          <w:rFonts w:cs="Arial"/>
        </w:rPr>
        <w:t>,</w:t>
      </w:r>
      <w:r w:rsidR="00170AF2" w:rsidRPr="00170AF2">
        <w:rPr>
          <w:rFonts w:cs="Arial"/>
        </w:rPr>
        <w:t xml:space="preserve"> not urine</w:t>
      </w:r>
      <w:r w:rsidR="00D424F0">
        <w:rPr>
          <w:rFonts w:cs="Arial"/>
        </w:rPr>
        <w:t>,</w:t>
      </w:r>
      <w:r w:rsidR="00170AF2" w:rsidRPr="00170AF2">
        <w:rPr>
          <w:rFonts w:cs="Arial"/>
        </w:rPr>
        <w:t xml:space="preserve"> that</w:t>
      </w:r>
      <w:r w:rsidR="00B944D0">
        <w:rPr>
          <w:rFonts w:cs="Arial"/>
        </w:rPr>
        <w:t xml:space="preserve"> </w:t>
      </w:r>
      <w:r w:rsidR="00170AF2" w:rsidRPr="00170AF2">
        <w:rPr>
          <w:rFonts w:cs="Arial"/>
        </w:rPr>
        <w:t>was thrown</w:t>
      </w:r>
      <w:r w:rsidR="00593270">
        <w:rPr>
          <w:rFonts w:cs="Arial"/>
        </w:rPr>
        <w:t xml:space="preserve"> and thus the evidence does not support his felony convictions</w:t>
      </w:r>
      <w:r w:rsidR="00170AF2" w:rsidRPr="00170AF2">
        <w:rPr>
          <w:rFonts w:cs="Arial"/>
        </w:rPr>
        <w:t>;</w:t>
      </w:r>
      <w:r w:rsidR="00B944D0">
        <w:rPr>
          <w:rFonts w:cs="Arial"/>
        </w:rPr>
        <w:t xml:space="preserve"> (2) </w:t>
      </w:r>
      <w:r w:rsidR="00170AF2" w:rsidRPr="00170AF2">
        <w:rPr>
          <w:rFonts w:cs="Arial"/>
        </w:rPr>
        <w:t>his</w:t>
      </w:r>
      <w:r w:rsidR="00B944D0">
        <w:rPr>
          <w:rFonts w:cs="Arial"/>
        </w:rPr>
        <w:t xml:space="preserve"> trial</w:t>
      </w:r>
      <w:r w:rsidR="00170AF2" w:rsidRPr="00170AF2">
        <w:rPr>
          <w:rFonts w:cs="Arial"/>
        </w:rPr>
        <w:t xml:space="preserve"> </w:t>
      </w:r>
      <w:r w:rsidR="00B944D0">
        <w:rPr>
          <w:rFonts w:cs="Arial"/>
        </w:rPr>
        <w:t>c</w:t>
      </w:r>
      <w:r w:rsidR="00170AF2" w:rsidRPr="00170AF2">
        <w:rPr>
          <w:rFonts w:cs="Arial"/>
        </w:rPr>
        <w:t>ounsel was ineffective in pretrial</w:t>
      </w:r>
      <w:r w:rsidR="00B944D0">
        <w:rPr>
          <w:rFonts w:cs="Arial"/>
        </w:rPr>
        <w:t xml:space="preserve"> </w:t>
      </w:r>
      <w:r w:rsidR="00170AF2" w:rsidRPr="00170AF2">
        <w:rPr>
          <w:rFonts w:cs="Arial"/>
        </w:rPr>
        <w:t>preparation and at trial; and</w:t>
      </w:r>
      <w:r w:rsidR="00B944D0">
        <w:rPr>
          <w:rFonts w:cs="Arial"/>
        </w:rPr>
        <w:t xml:space="preserve"> (3)</w:t>
      </w:r>
      <w:r w:rsidR="00170AF2" w:rsidRPr="00170AF2">
        <w:rPr>
          <w:rFonts w:cs="Arial"/>
        </w:rPr>
        <w:t xml:space="preserve"> the </w:t>
      </w:r>
      <w:r w:rsidR="00033B0B">
        <w:rPr>
          <w:rFonts w:cs="Arial"/>
        </w:rPr>
        <w:t>five</w:t>
      </w:r>
      <w:r w:rsidR="00170AF2" w:rsidRPr="00170AF2">
        <w:rPr>
          <w:rFonts w:cs="Arial"/>
        </w:rPr>
        <w:t xml:space="preserve"> consecutive sentences he received was cruel</w:t>
      </w:r>
      <w:r w:rsidR="00B944D0">
        <w:rPr>
          <w:rFonts w:cs="Arial"/>
        </w:rPr>
        <w:t xml:space="preserve"> </w:t>
      </w:r>
      <w:r w:rsidR="00170AF2" w:rsidRPr="00170AF2">
        <w:rPr>
          <w:rFonts w:cs="Arial"/>
        </w:rPr>
        <w:t>and unusual punishment.</w:t>
      </w:r>
    </w:p>
    <w:p w14:paraId="7A5C25EA" w14:textId="3454F869" w:rsidR="005A6DF6" w:rsidRDefault="0078167B" w:rsidP="005A6DF6">
      <w:pPr>
        <w:tabs>
          <w:tab w:val="clear" w:pos="720"/>
        </w:tabs>
        <w:autoSpaceDE w:val="0"/>
        <w:autoSpaceDN w:val="0"/>
        <w:adjustRightInd w:val="0"/>
        <w:spacing w:line="480" w:lineRule="auto"/>
        <w:ind w:firstLine="720"/>
        <w:rPr>
          <w:rFonts w:cs="Arial"/>
        </w:rPr>
      </w:pPr>
      <w:r w:rsidRPr="00AF66D2">
        <w:rPr>
          <w:rFonts w:cs="Arial"/>
        </w:rPr>
        <w:t>“It is a fundamental doctrine of appellate review that issues must ordinarily be both raised and decided by the district court before we will decide them on appeal.”</w:t>
      </w:r>
      <w:r w:rsidR="00BE5337">
        <w:rPr>
          <w:rFonts w:cs="Arial"/>
        </w:rPr>
        <w:t xml:space="preserve"> </w:t>
      </w:r>
      <w:r w:rsidRPr="00AF66D2">
        <w:rPr>
          <w:rFonts w:cs="Arial"/>
        </w:rPr>
        <w:t xml:space="preserve"> </w:t>
      </w:r>
      <w:r w:rsidRPr="00AF66D2">
        <w:rPr>
          <w:rFonts w:cs="Arial"/>
          <w:i/>
        </w:rPr>
        <w:t>Meier v Senecaut</w:t>
      </w:r>
      <w:r w:rsidRPr="00AF66D2">
        <w:rPr>
          <w:rFonts w:cs="Arial"/>
        </w:rPr>
        <w:t>, 641 N.W.2d 532, 537 (Iowa 2002).</w:t>
      </w:r>
      <w:r w:rsidR="00D424F0">
        <w:rPr>
          <w:rFonts w:cs="Arial"/>
        </w:rPr>
        <w:t xml:space="preserve"> </w:t>
      </w:r>
      <w:r w:rsidR="00E263FD" w:rsidRPr="00AF66D2">
        <w:rPr>
          <w:rFonts w:cs="Arial"/>
        </w:rPr>
        <w:t xml:space="preserve"> “Nothing is more basic in the law of appeal and error than the axiom that a party cannot sing a song to us that was not first sung in trial court.”  </w:t>
      </w:r>
      <w:r w:rsidR="00E263FD" w:rsidRPr="00AF66D2">
        <w:rPr>
          <w:rFonts w:cs="Arial"/>
          <w:i/>
          <w:iCs/>
        </w:rPr>
        <w:t>State</w:t>
      </w:r>
      <w:r w:rsidR="00170AF2">
        <w:rPr>
          <w:rFonts w:cs="Arial"/>
          <w:i/>
          <w:iCs/>
        </w:rPr>
        <w:t xml:space="preserve"> </w:t>
      </w:r>
      <w:r w:rsidR="00E263FD" w:rsidRPr="00AF66D2">
        <w:rPr>
          <w:rFonts w:cs="Arial"/>
          <w:i/>
          <w:iCs/>
        </w:rPr>
        <w:t>v.</w:t>
      </w:r>
      <w:r w:rsidR="00170AF2">
        <w:rPr>
          <w:rFonts w:cs="Arial"/>
          <w:i/>
          <w:iCs/>
        </w:rPr>
        <w:t xml:space="preserve"> </w:t>
      </w:r>
      <w:r w:rsidR="00E263FD" w:rsidRPr="00AF66D2">
        <w:rPr>
          <w:rFonts w:cs="Arial"/>
          <w:i/>
          <w:iCs/>
        </w:rPr>
        <w:t>Rutledge</w:t>
      </w:r>
      <w:r w:rsidR="00E263FD" w:rsidRPr="00AF66D2">
        <w:rPr>
          <w:rFonts w:cs="Arial"/>
        </w:rPr>
        <w:t xml:space="preserve">, </w:t>
      </w:r>
      <w:r w:rsidR="005A6DF6">
        <w:rPr>
          <w:rFonts w:cs="Arial"/>
        </w:rPr>
        <w:t xml:space="preserve">600 N.W.2d 324, 325 (Iowa 1999). </w:t>
      </w:r>
    </w:p>
    <w:p w14:paraId="67088994" w14:textId="08CCD8E6" w:rsidR="005A6DF6" w:rsidRDefault="005A6DF6" w:rsidP="005A6DF6">
      <w:pPr>
        <w:tabs>
          <w:tab w:val="clear" w:pos="720"/>
        </w:tabs>
        <w:autoSpaceDE w:val="0"/>
        <w:autoSpaceDN w:val="0"/>
        <w:adjustRightInd w:val="0"/>
        <w:spacing w:line="480" w:lineRule="auto"/>
        <w:ind w:firstLine="720"/>
      </w:pPr>
      <w:r>
        <w:t>We note that the district court did address the urine</w:t>
      </w:r>
      <w:r w:rsidR="00D424F0">
        <w:t>-</w:t>
      </w:r>
      <w:r>
        <w:t>versus</w:t>
      </w:r>
      <w:r w:rsidR="00D424F0">
        <w:t>-</w:t>
      </w:r>
      <w:r>
        <w:t>vomit issue in addressing the ineffective</w:t>
      </w:r>
      <w:r w:rsidR="00BE5337">
        <w:t>-</w:t>
      </w:r>
      <w:r>
        <w:t>assistance</w:t>
      </w:r>
      <w:r w:rsidR="00BE5337">
        <w:t>-</w:t>
      </w:r>
      <w:r>
        <w:t>of</w:t>
      </w:r>
      <w:r w:rsidR="00BE5337">
        <w:t>-</w:t>
      </w:r>
      <w:r>
        <w:t xml:space="preserve">counsel claim.  In addition, despite not being argued by Wilson, the district court agreed to address the </w:t>
      </w:r>
      <w:r w:rsidR="006F6AEF">
        <w:t>cruel</w:t>
      </w:r>
      <w:r w:rsidR="00BE5337">
        <w:t>-</w:t>
      </w:r>
      <w:r w:rsidR="006F6AEF">
        <w:t>and</w:t>
      </w:r>
      <w:r w:rsidR="00BE5337">
        <w:t>-</w:t>
      </w:r>
      <w:r w:rsidR="006F6AEF">
        <w:t>unusual</w:t>
      </w:r>
      <w:r w:rsidR="00BE5337">
        <w:t>-</w:t>
      </w:r>
      <w:r w:rsidR="006F6AEF">
        <w:t>punishment</w:t>
      </w:r>
      <w:r>
        <w:t xml:space="preserve"> issue.  For these reasons, we will address the three issues raised by Wilson in this appeal.</w:t>
      </w:r>
    </w:p>
    <w:p w14:paraId="7DD49177" w14:textId="7F58F08B" w:rsidR="005A6DF6" w:rsidRPr="0006603D" w:rsidRDefault="00831ED8" w:rsidP="00831ED8">
      <w:pPr>
        <w:pStyle w:val="Default"/>
        <w:rPr>
          <w:rFonts w:ascii="Arial" w:hAnsi="Arial" w:cs="Arial"/>
          <w:b/>
          <w:bCs/>
        </w:rPr>
      </w:pPr>
      <w:r w:rsidRPr="0006603D">
        <w:rPr>
          <w:rFonts w:ascii="Arial" w:hAnsi="Arial" w:cs="Arial"/>
          <w:b/>
          <w:bCs/>
        </w:rPr>
        <w:t xml:space="preserve">IV. </w:t>
      </w:r>
      <w:r w:rsidR="005A6DF6" w:rsidRPr="0006603D">
        <w:rPr>
          <w:rFonts w:ascii="Arial" w:hAnsi="Arial" w:cs="Arial"/>
          <w:b/>
          <w:bCs/>
        </w:rPr>
        <w:t xml:space="preserve">Standard and Scope of Review. </w:t>
      </w:r>
    </w:p>
    <w:p w14:paraId="5EDD7DEF" w14:textId="77777777" w:rsidR="005A6DF6" w:rsidRPr="00E263FD" w:rsidRDefault="005A6DF6" w:rsidP="005A6DF6">
      <w:pPr>
        <w:pStyle w:val="Default"/>
        <w:rPr>
          <w:rFonts w:ascii="Arial" w:hAnsi="Arial" w:cs="Arial"/>
        </w:rPr>
      </w:pPr>
    </w:p>
    <w:p w14:paraId="2ED3EDE4" w14:textId="44455A79" w:rsidR="00024287" w:rsidRDefault="00D424F0" w:rsidP="00024287">
      <w:pPr>
        <w:tabs>
          <w:tab w:val="clear" w:pos="720"/>
        </w:tabs>
        <w:autoSpaceDE w:val="0"/>
        <w:autoSpaceDN w:val="0"/>
        <w:adjustRightInd w:val="0"/>
        <w:spacing w:line="480" w:lineRule="auto"/>
        <w:ind w:firstLine="720"/>
        <w:rPr>
          <w:rFonts w:cs="Arial"/>
        </w:rPr>
      </w:pPr>
      <w:r>
        <w:rPr>
          <w:rFonts w:cs="Arial"/>
        </w:rPr>
        <w:t>PCR</w:t>
      </w:r>
      <w:r w:rsidRPr="00E263FD">
        <w:rPr>
          <w:rFonts w:cs="Arial"/>
        </w:rPr>
        <w:t xml:space="preserve"> </w:t>
      </w:r>
      <w:r w:rsidR="005A6DF6" w:rsidRPr="00E263FD">
        <w:rPr>
          <w:rFonts w:cs="Arial"/>
        </w:rPr>
        <w:t>proceedings are civil in nature and are generally reviewed for the correction of errors at law.</w:t>
      </w:r>
      <w:r w:rsidR="00BE5337">
        <w:rPr>
          <w:rFonts w:cs="Arial"/>
        </w:rPr>
        <w:t xml:space="preserve"> </w:t>
      </w:r>
      <w:r w:rsidR="005A6DF6" w:rsidRPr="00E263FD">
        <w:rPr>
          <w:rFonts w:cs="Arial"/>
        </w:rPr>
        <w:t xml:space="preserve"> </w:t>
      </w:r>
      <w:r w:rsidR="005A6DF6" w:rsidRPr="00E263FD">
        <w:rPr>
          <w:rFonts w:cs="Arial"/>
          <w:i/>
          <w:iCs/>
        </w:rPr>
        <w:t>Ledezma v. State</w:t>
      </w:r>
      <w:r w:rsidR="005A6DF6" w:rsidRPr="00E263FD">
        <w:rPr>
          <w:rFonts w:cs="Arial"/>
        </w:rPr>
        <w:t xml:space="preserve">, 626 N.W.2d 134, 141 (Iowa 2001). </w:t>
      </w:r>
      <w:r w:rsidR="00BE5337">
        <w:rPr>
          <w:rFonts w:cs="Arial"/>
        </w:rPr>
        <w:t xml:space="preserve"> </w:t>
      </w:r>
      <w:r w:rsidR="005A6DF6" w:rsidRPr="00E263FD">
        <w:rPr>
          <w:rFonts w:cs="Arial"/>
        </w:rPr>
        <w:t>To the extent an ineffective</w:t>
      </w:r>
      <w:r w:rsidR="00BE5337">
        <w:rPr>
          <w:rFonts w:cs="Arial"/>
        </w:rPr>
        <w:t>-</w:t>
      </w:r>
      <w:r w:rsidR="005A6DF6" w:rsidRPr="00E263FD">
        <w:rPr>
          <w:rFonts w:cs="Arial"/>
        </w:rPr>
        <w:t>assistance</w:t>
      </w:r>
      <w:r w:rsidR="00BE5337">
        <w:rPr>
          <w:rFonts w:cs="Arial"/>
        </w:rPr>
        <w:t>-</w:t>
      </w:r>
      <w:r w:rsidR="005A6DF6" w:rsidRPr="00E263FD">
        <w:rPr>
          <w:rFonts w:cs="Arial"/>
        </w:rPr>
        <w:t>of</w:t>
      </w:r>
      <w:r w:rsidR="00BE5337">
        <w:rPr>
          <w:rFonts w:cs="Arial"/>
        </w:rPr>
        <w:t>-</w:t>
      </w:r>
      <w:r w:rsidR="005A6DF6" w:rsidRPr="00E263FD">
        <w:rPr>
          <w:rFonts w:cs="Arial"/>
        </w:rPr>
        <w:t xml:space="preserve">counsel claim is raised, review is </w:t>
      </w:r>
      <w:r w:rsidR="005A6DF6" w:rsidRPr="00EC1713">
        <w:rPr>
          <w:rFonts w:cs="Arial"/>
          <w:iCs/>
        </w:rPr>
        <w:t>de novo</w:t>
      </w:r>
      <w:r w:rsidR="005A6DF6" w:rsidRPr="00E263FD">
        <w:rPr>
          <w:rFonts w:cs="Arial"/>
        </w:rPr>
        <w:t>.</w:t>
      </w:r>
      <w:r w:rsidR="00BE5337">
        <w:rPr>
          <w:rFonts w:cs="Arial"/>
        </w:rPr>
        <w:t xml:space="preserve"> </w:t>
      </w:r>
      <w:r w:rsidR="005A6DF6" w:rsidRPr="00E263FD">
        <w:rPr>
          <w:rFonts w:cs="Arial"/>
        </w:rPr>
        <w:t xml:space="preserve"> </w:t>
      </w:r>
      <w:r w:rsidR="00BE5337">
        <w:rPr>
          <w:rFonts w:cs="Arial"/>
          <w:i/>
          <w:iCs/>
        </w:rPr>
        <w:t>I</w:t>
      </w:r>
      <w:r w:rsidR="005A6DF6" w:rsidRPr="00E263FD">
        <w:rPr>
          <w:rFonts w:cs="Arial"/>
          <w:i/>
          <w:iCs/>
        </w:rPr>
        <w:t>d.</w:t>
      </w:r>
      <w:r w:rsidR="005A6DF6">
        <w:rPr>
          <w:rFonts w:cs="Arial"/>
          <w:i/>
          <w:iCs/>
        </w:rPr>
        <w:t xml:space="preserve"> </w:t>
      </w:r>
      <w:r w:rsidR="00BE5337">
        <w:rPr>
          <w:rFonts w:cs="Arial"/>
          <w:i/>
          <w:iCs/>
        </w:rPr>
        <w:t xml:space="preserve"> </w:t>
      </w:r>
      <w:r w:rsidR="005A6DF6" w:rsidRPr="005A6DF6">
        <w:rPr>
          <w:rFonts w:cs="Arial"/>
        </w:rPr>
        <w:t xml:space="preserve">In order for </w:t>
      </w:r>
      <w:r w:rsidR="005A6DF6">
        <w:rPr>
          <w:rFonts w:cs="Arial"/>
        </w:rPr>
        <w:t>Wilson</w:t>
      </w:r>
      <w:r w:rsidR="005A6DF6" w:rsidRPr="005A6DF6">
        <w:rPr>
          <w:rFonts w:cs="Arial"/>
        </w:rPr>
        <w:t xml:space="preserve"> to succeed on an ineffective</w:t>
      </w:r>
      <w:r w:rsidR="00BE5337">
        <w:rPr>
          <w:rFonts w:cs="Arial"/>
        </w:rPr>
        <w:t>-</w:t>
      </w:r>
      <w:r w:rsidR="005A6DF6" w:rsidRPr="005A6DF6">
        <w:rPr>
          <w:rFonts w:cs="Arial"/>
        </w:rPr>
        <w:t>assistance</w:t>
      </w:r>
      <w:r w:rsidR="00BE5337">
        <w:rPr>
          <w:rFonts w:cs="Arial"/>
        </w:rPr>
        <w:t>-</w:t>
      </w:r>
      <w:r w:rsidR="005A6DF6" w:rsidRPr="005A6DF6">
        <w:rPr>
          <w:rFonts w:cs="Arial"/>
        </w:rPr>
        <w:t>of</w:t>
      </w:r>
      <w:r w:rsidR="00BE5337">
        <w:rPr>
          <w:rFonts w:cs="Arial"/>
        </w:rPr>
        <w:t>-</w:t>
      </w:r>
      <w:r w:rsidR="005A6DF6" w:rsidRPr="005A6DF6">
        <w:rPr>
          <w:rFonts w:cs="Arial"/>
        </w:rPr>
        <w:t xml:space="preserve">counsel claim, he must prove (1) his counsel failed to perform an essential duty and (2) prejudice resulted from such failure. </w:t>
      </w:r>
      <w:r w:rsidR="00BE5337">
        <w:rPr>
          <w:rFonts w:cs="Arial"/>
        </w:rPr>
        <w:t xml:space="preserve"> </w:t>
      </w:r>
      <w:r w:rsidR="00317D47">
        <w:rPr>
          <w:rFonts w:cs="Arial"/>
          <w:i/>
        </w:rPr>
        <w:t xml:space="preserve">See </w:t>
      </w:r>
      <w:r w:rsidR="005A6DF6" w:rsidRPr="005A6DF6">
        <w:rPr>
          <w:rFonts w:cs="Arial"/>
          <w:i/>
        </w:rPr>
        <w:t>State v. Palmer</w:t>
      </w:r>
      <w:r w:rsidR="005A6DF6" w:rsidRPr="005A6DF6">
        <w:rPr>
          <w:rFonts w:cs="Arial"/>
        </w:rPr>
        <w:t>, 791 N.W.2d 840, 850 (Iowa 2010)</w:t>
      </w:r>
      <w:r w:rsidR="00BE5337">
        <w:rPr>
          <w:rFonts w:cs="Arial"/>
        </w:rPr>
        <w:t xml:space="preserve"> </w:t>
      </w:r>
      <w:r w:rsidR="005A6DF6">
        <w:rPr>
          <w:rFonts w:cs="Arial"/>
        </w:rPr>
        <w:t>(</w:t>
      </w:r>
      <w:r w:rsidR="005A6DF6" w:rsidRPr="005A6DF6">
        <w:rPr>
          <w:rFonts w:cs="Arial"/>
        </w:rPr>
        <w:t xml:space="preserve">citing </w:t>
      </w:r>
      <w:r w:rsidR="005A6DF6" w:rsidRPr="005A6DF6">
        <w:rPr>
          <w:rFonts w:cs="Arial"/>
          <w:i/>
        </w:rPr>
        <w:t>Strickland v. Washington</w:t>
      </w:r>
      <w:r w:rsidR="005A6DF6" w:rsidRPr="005A6DF6">
        <w:rPr>
          <w:rFonts w:cs="Arial"/>
        </w:rPr>
        <w:t>, 466 U.S. 668, 687 (1984)</w:t>
      </w:r>
      <w:r w:rsidR="005A6DF6">
        <w:rPr>
          <w:rFonts w:cs="Arial"/>
        </w:rPr>
        <w:t>).</w:t>
      </w:r>
      <w:r w:rsidR="005A6DF6" w:rsidRPr="005A6DF6">
        <w:rPr>
          <w:rFonts w:cs="Arial"/>
        </w:rPr>
        <w:t xml:space="preserve"> </w:t>
      </w:r>
      <w:r w:rsidR="00BE5337">
        <w:rPr>
          <w:rFonts w:cs="Arial"/>
        </w:rPr>
        <w:t xml:space="preserve"> </w:t>
      </w:r>
      <w:r w:rsidR="005A6DF6">
        <w:rPr>
          <w:rFonts w:cs="Arial"/>
        </w:rPr>
        <w:t>He</w:t>
      </w:r>
      <w:r w:rsidR="005A6DF6" w:rsidRPr="005A6DF6">
        <w:rPr>
          <w:rFonts w:cs="Arial"/>
        </w:rPr>
        <w:t xml:space="preserve"> must prove that his attorney</w:t>
      </w:r>
      <w:r w:rsidR="00BE5337">
        <w:rPr>
          <w:rFonts w:cs="Arial"/>
        </w:rPr>
        <w:t>’</w:t>
      </w:r>
      <w:r w:rsidR="005A6DF6" w:rsidRPr="005A6DF6">
        <w:rPr>
          <w:rFonts w:cs="Arial"/>
        </w:rPr>
        <w:t xml:space="preserve">s performance was deficient, meaning that he </w:t>
      </w:r>
      <w:r w:rsidR="00BE5337">
        <w:rPr>
          <w:rFonts w:cs="Arial"/>
        </w:rPr>
        <w:t>“</w:t>
      </w:r>
      <w:r w:rsidR="005A6DF6" w:rsidRPr="005A6DF6">
        <w:rPr>
          <w:rFonts w:cs="Arial"/>
        </w:rPr>
        <w:t xml:space="preserve">made errors </w:t>
      </w:r>
      <w:r w:rsidR="005A6DF6" w:rsidRPr="005A6DF6">
        <w:rPr>
          <w:rFonts w:cs="Arial"/>
        </w:rPr>
        <w:lastRenderedPageBreak/>
        <w:t xml:space="preserve">so serious that counsel was not functioning as the </w:t>
      </w:r>
      <w:r w:rsidR="00BE5337">
        <w:rPr>
          <w:rFonts w:cs="Arial"/>
        </w:rPr>
        <w:t>‘</w:t>
      </w:r>
      <w:r w:rsidR="005A6DF6" w:rsidRPr="005A6DF6">
        <w:rPr>
          <w:rFonts w:cs="Arial"/>
        </w:rPr>
        <w:t>counsel</w:t>
      </w:r>
      <w:r w:rsidR="00BE5337">
        <w:rPr>
          <w:rFonts w:cs="Arial"/>
        </w:rPr>
        <w:t>’</w:t>
      </w:r>
      <w:r w:rsidR="005A6DF6" w:rsidRPr="005A6DF6">
        <w:rPr>
          <w:rFonts w:cs="Arial"/>
        </w:rPr>
        <w:t xml:space="preserve"> guaranteed the defendant by the Sixth Amendment.</w:t>
      </w:r>
      <w:r w:rsidR="00BE5337">
        <w:rPr>
          <w:rFonts w:cs="Arial"/>
        </w:rPr>
        <w:t xml:space="preserve">” </w:t>
      </w:r>
      <w:r w:rsidR="005A6DF6" w:rsidRPr="005A6DF6">
        <w:rPr>
          <w:rFonts w:cs="Arial"/>
        </w:rPr>
        <w:t xml:space="preserve"> </w:t>
      </w:r>
      <w:r w:rsidR="005A6DF6" w:rsidRPr="005A6DF6">
        <w:rPr>
          <w:rFonts w:cs="Arial"/>
          <w:i/>
        </w:rPr>
        <w:t>Strickland</w:t>
      </w:r>
      <w:r w:rsidR="00BE5337">
        <w:rPr>
          <w:rFonts w:cs="Arial"/>
        </w:rPr>
        <w:t>, 466 U.S.</w:t>
      </w:r>
      <w:r w:rsidR="005A6DF6" w:rsidRPr="005A6DF6">
        <w:rPr>
          <w:rFonts w:cs="Arial"/>
        </w:rPr>
        <w:t xml:space="preserve"> at 687.</w:t>
      </w:r>
      <w:r w:rsidR="00BE5337">
        <w:rPr>
          <w:rFonts w:cs="Arial"/>
        </w:rPr>
        <w:t xml:space="preserve"> </w:t>
      </w:r>
      <w:r w:rsidR="005A6DF6" w:rsidRPr="005A6DF6">
        <w:rPr>
          <w:rFonts w:cs="Arial"/>
        </w:rPr>
        <w:t xml:space="preserve"> To establish the prejudice prong, the applicant must show </w:t>
      </w:r>
      <w:r w:rsidR="00BE5337">
        <w:rPr>
          <w:rFonts w:cs="Arial"/>
        </w:rPr>
        <w:t>“</w:t>
      </w:r>
      <w:r w:rsidR="005A6DF6" w:rsidRPr="005A6DF6">
        <w:rPr>
          <w:rFonts w:cs="Arial"/>
        </w:rPr>
        <w:t>a reasonable probability that but for counsel</w:t>
      </w:r>
      <w:r w:rsidR="00BE5337">
        <w:rPr>
          <w:rFonts w:cs="Arial"/>
        </w:rPr>
        <w:t>’</w:t>
      </w:r>
      <w:r w:rsidR="005A6DF6" w:rsidRPr="005A6DF6">
        <w:rPr>
          <w:rFonts w:cs="Arial"/>
        </w:rPr>
        <w:t>s unprofessional errors, the result of the proceeding would have been different.</w:t>
      </w:r>
      <w:r w:rsidR="00BE5337">
        <w:rPr>
          <w:rFonts w:cs="Arial"/>
        </w:rPr>
        <w:t xml:space="preserve">” </w:t>
      </w:r>
      <w:r w:rsidR="005A6DF6" w:rsidRPr="005A6DF6">
        <w:rPr>
          <w:rFonts w:cs="Arial"/>
        </w:rPr>
        <w:t xml:space="preserve"> </w:t>
      </w:r>
      <w:r w:rsidR="00BE5337">
        <w:rPr>
          <w:rFonts w:cs="Arial"/>
          <w:i/>
        </w:rPr>
        <w:t>Id.</w:t>
      </w:r>
      <w:r w:rsidR="005A6DF6" w:rsidRPr="005A6DF6">
        <w:rPr>
          <w:rFonts w:cs="Arial"/>
        </w:rPr>
        <w:t xml:space="preserve"> at 694. </w:t>
      </w:r>
      <w:r w:rsidR="00BE5337">
        <w:rPr>
          <w:rFonts w:cs="Arial"/>
        </w:rPr>
        <w:t xml:space="preserve"> </w:t>
      </w:r>
      <w:r w:rsidR="005A6DF6" w:rsidRPr="005A6DF6">
        <w:rPr>
          <w:rFonts w:cs="Arial"/>
        </w:rPr>
        <w:t xml:space="preserve">To establish a reasonable probability that the result would have been different, the applicant needs to offer evidence </w:t>
      </w:r>
      <w:r w:rsidR="00BE5337">
        <w:rPr>
          <w:rFonts w:cs="Arial"/>
        </w:rPr>
        <w:t>“</w:t>
      </w:r>
      <w:r w:rsidR="005A6DF6" w:rsidRPr="005A6DF6">
        <w:rPr>
          <w:rFonts w:cs="Arial"/>
        </w:rPr>
        <w:t xml:space="preserve">that the probability of a different result is </w:t>
      </w:r>
      <w:r w:rsidR="00BE5337">
        <w:rPr>
          <w:rFonts w:cs="Arial"/>
        </w:rPr>
        <w:t>‘</w:t>
      </w:r>
      <w:r w:rsidR="005A6DF6" w:rsidRPr="005A6DF6">
        <w:rPr>
          <w:rFonts w:cs="Arial"/>
        </w:rPr>
        <w:t>sufficient to undermine confidence in the outcome.</w:t>
      </w:r>
      <w:r w:rsidR="00BE5337">
        <w:rPr>
          <w:rFonts w:cs="Arial"/>
        </w:rPr>
        <w:t>’”</w:t>
      </w:r>
      <w:r w:rsidR="005A6DF6" w:rsidRPr="005A6DF6">
        <w:rPr>
          <w:rFonts w:cs="Arial"/>
        </w:rPr>
        <w:t xml:space="preserve"> </w:t>
      </w:r>
      <w:r w:rsidR="00BE5337">
        <w:rPr>
          <w:rFonts w:cs="Arial"/>
        </w:rPr>
        <w:t xml:space="preserve"> </w:t>
      </w:r>
      <w:r w:rsidR="00BE5337" w:rsidRPr="00442D0E">
        <w:rPr>
          <w:rFonts w:cs="Arial"/>
          <w:i/>
        </w:rPr>
        <w:t>State v.</w:t>
      </w:r>
      <w:r w:rsidR="00BE5337">
        <w:rPr>
          <w:rFonts w:cs="Arial"/>
        </w:rPr>
        <w:t xml:space="preserve"> </w:t>
      </w:r>
      <w:r w:rsidR="005A6DF6" w:rsidRPr="005A6DF6">
        <w:rPr>
          <w:rFonts w:cs="Arial"/>
          <w:i/>
        </w:rPr>
        <w:t>Palmer</w:t>
      </w:r>
      <w:r w:rsidR="00BE5337">
        <w:rPr>
          <w:rFonts w:cs="Arial"/>
        </w:rPr>
        <w:t>, 791 N.W.2d 840, 850 (Iowa 2010)</w:t>
      </w:r>
      <w:r w:rsidR="005A6DF6" w:rsidRPr="005A6DF6">
        <w:rPr>
          <w:rFonts w:cs="Arial"/>
        </w:rPr>
        <w:t xml:space="preserve">. </w:t>
      </w:r>
      <w:r w:rsidR="00BE5337">
        <w:rPr>
          <w:rFonts w:cs="Arial"/>
        </w:rPr>
        <w:t xml:space="preserve"> </w:t>
      </w:r>
      <w:r w:rsidR="005A6DF6" w:rsidRPr="005A6DF6">
        <w:rPr>
          <w:rFonts w:cs="Arial"/>
        </w:rPr>
        <w:t>If either prong of the two</w:t>
      </w:r>
      <w:r w:rsidR="00BE5337">
        <w:rPr>
          <w:rFonts w:cs="Arial"/>
        </w:rPr>
        <w:t>-</w:t>
      </w:r>
      <w:r w:rsidR="005A6DF6" w:rsidRPr="005A6DF6">
        <w:rPr>
          <w:rFonts w:cs="Arial"/>
        </w:rPr>
        <w:t xml:space="preserve">part test is not met, the applicant fails to meet their burden. </w:t>
      </w:r>
      <w:r w:rsidR="00BE5337">
        <w:rPr>
          <w:rFonts w:cs="Arial"/>
        </w:rPr>
        <w:t xml:space="preserve"> </w:t>
      </w:r>
      <w:r w:rsidR="005A6DF6" w:rsidRPr="005A6DF6">
        <w:rPr>
          <w:rFonts w:cs="Arial"/>
          <w:i/>
        </w:rPr>
        <w:t>State v Cook</w:t>
      </w:r>
      <w:r w:rsidR="005A6DF6" w:rsidRPr="005A6DF6">
        <w:rPr>
          <w:rFonts w:cs="Arial"/>
        </w:rPr>
        <w:t>, 565 N.W.2d 611, 614 (Iowa 1997).</w:t>
      </w:r>
      <w:r w:rsidR="00033B0B">
        <w:rPr>
          <w:rFonts w:cs="Arial"/>
        </w:rPr>
        <w:t xml:space="preserve">  </w:t>
      </w:r>
    </w:p>
    <w:p w14:paraId="1639DCE8" w14:textId="192DADC3" w:rsidR="00C80DBF" w:rsidRPr="0006603D" w:rsidRDefault="00831ED8" w:rsidP="00831ED8">
      <w:pPr>
        <w:tabs>
          <w:tab w:val="clear" w:pos="720"/>
        </w:tabs>
        <w:autoSpaceDE w:val="0"/>
        <w:autoSpaceDN w:val="0"/>
        <w:adjustRightInd w:val="0"/>
        <w:spacing w:line="480" w:lineRule="auto"/>
        <w:rPr>
          <w:rFonts w:cs="Arial"/>
          <w:b/>
          <w:color w:val="000000"/>
        </w:rPr>
      </w:pPr>
      <w:r w:rsidRPr="0006603D">
        <w:rPr>
          <w:rFonts w:cs="Arial"/>
          <w:b/>
          <w:color w:val="000000"/>
        </w:rPr>
        <w:t xml:space="preserve">V. </w:t>
      </w:r>
      <w:r w:rsidR="00B07362" w:rsidRPr="0006603D">
        <w:rPr>
          <w:rFonts w:cs="Arial"/>
          <w:b/>
          <w:color w:val="000000"/>
        </w:rPr>
        <w:t>Discussion.</w:t>
      </w:r>
    </w:p>
    <w:p w14:paraId="615605F2" w14:textId="7CC13D76" w:rsidR="00485F04" w:rsidRPr="0006603D" w:rsidRDefault="00EC1713" w:rsidP="00831ED8">
      <w:pPr>
        <w:shd w:val="clear" w:color="auto" w:fill="FFFFFF"/>
        <w:spacing w:line="480" w:lineRule="auto"/>
        <w:rPr>
          <w:rFonts w:cs="Arial"/>
          <w:b/>
          <w:color w:val="000000"/>
        </w:rPr>
      </w:pPr>
      <w:r w:rsidRPr="0006603D">
        <w:rPr>
          <w:rFonts w:cs="Arial"/>
          <w:b/>
          <w:color w:val="000000"/>
        </w:rPr>
        <w:tab/>
        <w:t>A. Type of Bodily Fluid or Secretion</w:t>
      </w:r>
      <w:r w:rsidR="00B07362" w:rsidRPr="0006603D">
        <w:rPr>
          <w:rFonts w:cs="Arial"/>
          <w:b/>
          <w:color w:val="000000"/>
        </w:rPr>
        <w:t xml:space="preserve"> </w:t>
      </w:r>
    </w:p>
    <w:p w14:paraId="28548CE5" w14:textId="1520868D" w:rsidR="00B07362" w:rsidRPr="00485F04" w:rsidRDefault="00485F04" w:rsidP="00485F04">
      <w:pPr>
        <w:shd w:val="clear" w:color="auto" w:fill="FFFFFF"/>
        <w:spacing w:line="480" w:lineRule="auto"/>
        <w:rPr>
          <w:rFonts w:cs="Arial"/>
          <w:color w:val="000000"/>
        </w:rPr>
      </w:pPr>
      <w:r>
        <w:rPr>
          <w:rFonts w:cs="Arial"/>
          <w:color w:val="000000"/>
        </w:rPr>
        <w:tab/>
      </w:r>
      <w:r w:rsidR="00B07362" w:rsidRPr="00485F04">
        <w:rPr>
          <w:rFonts w:cs="Arial"/>
          <w:color w:val="000000"/>
        </w:rPr>
        <w:t xml:space="preserve">Wilson contends that the State’s answer to his PCR application, where it admitted the substance he threw at the jailers was vomit and not urine, requires a reversal of his convictions, since vomit does not meet </w:t>
      </w:r>
      <w:r w:rsidR="00BB5C1F" w:rsidRPr="00485F04">
        <w:rPr>
          <w:rFonts w:cs="Arial"/>
          <w:color w:val="000000"/>
        </w:rPr>
        <w:t xml:space="preserve">one of </w:t>
      </w:r>
      <w:r w:rsidR="00B07362" w:rsidRPr="00485F04">
        <w:rPr>
          <w:rFonts w:cs="Arial"/>
          <w:color w:val="000000"/>
        </w:rPr>
        <w:t xml:space="preserve">the </w:t>
      </w:r>
      <w:r w:rsidR="00BB5C1F" w:rsidRPr="00485F04">
        <w:rPr>
          <w:rFonts w:cs="Arial"/>
          <w:color w:val="000000"/>
        </w:rPr>
        <w:t xml:space="preserve">required </w:t>
      </w:r>
      <w:r w:rsidR="00B07362" w:rsidRPr="00485F04">
        <w:rPr>
          <w:rFonts w:cs="Arial"/>
          <w:color w:val="000000"/>
        </w:rPr>
        <w:t xml:space="preserve">elements of the </w:t>
      </w:r>
      <w:r w:rsidR="00BB5C1F" w:rsidRPr="00485F04">
        <w:rPr>
          <w:rFonts w:cs="Arial"/>
          <w:color w:val="000000"/>
        </w:rPr>
        <w:t xml:space="preserve">three felony </w:t>
      </w:r>
      <w:r w:rsidR="00B07362" w:rsidRPr="00485F04">
        <w:rPr>
          <w:rFonts w:cs="Arial"/>
          <w:color w:val="000000"/>
        </w:rPr>
        <w:t>crime</w:t>
      </w:r>
      <w:r w:rsidR="00BB5C1F" w:rsidRPr="00485F04">
        <w:rPr>
          <w:rFonts w:cs="Arial"/>
          <w:color w:val="000000"/>
        </w:rPr>
        <w:t>s</w:t>
      </w:r>
      <w:r w:rsidR="00B07362" w:rsidRPr="00485F04">
        <w:rPr>
          <w:rFonts w:cs="Arial"/>
          <w:color w:val="000000"/>
        </w:rPr>
        <w:t xml:space="preserve"> </w:t>
      </w:r>
      <w:r w:rsidR="00BB5C1F" w:rsidRPr="00485F04">
        <w:rPr>
          <w:rFonts w:cs="Arial"/>
          <w:color w:val="000000"/>
        </w:rPr>
        <w:t xml:space="preserve">of which he was convicted. </w:t>
      </w:r>
      <w:r w:rsidR="00BE5337">
        <w:rPr>
          <w:rFonts w:cs="Arial"/>
          <w:color w:val="000000"/>
        </w:rPr>
        <w:t xml:space="preserve"> </w:t>
      </w:r>
      <w:r w:rsidR="00BB5C1F" w:rsidRPr="00485F04">
        <w:rPr>
          <w:rFonts w:cs="Arial"/>
          <w:color w:val="000000"/>
        </w:rPr>
        <w:t>We cannot agree.</w:t>
      </w:r>
    </w:p>
    <w:p w14:paraId="6619D73C" w14:textId="0368F337" w:rsidR="00C80DBF" w:rsidRDefault="00BB5C1F" w:rsidP="00BB5C1F">
      <w:pPr>
        <w:tabs>
          <w:tab w:val="clear" w:pos="720"/>
        </w:tabs>
        <w:autoSpaceDE w:val="0"/>
        <w:autoSpaceDN w:val="0"/>
        <w:adjustRightInd w:val="0"/>
        <w:spacing w:line="480" w:lineRule="auto"/>
        <w:rPr>
          <w:rFonts w:cs="Arial"/>
        </w:rPr>
      </w:pPr>
      <w:r>
        <w:rPr>
          <w:rFonts w:cs="Arial"/>
          <w:color w:val="000000"/>
        </w:rPr>
        <w:tab/>
      </w:r>
      <w:r w:rsidR="00C80DBF">
        <w:rPr>
          <w:rFonts w:cs="Arial"/>
          <w:color w:val="000000"/>
        </w:rPr>
        <w:t xml:space="preserve">A </w:t>
      </w:r>
      <w:r w:rsidR="0072186D">
        <w:rPr>
          <w:rFonts w:cs="Arial"/>
          <w:color w:val="000000"/>
        </w:rPr>
        <w:t xml:space="preserve">PCR </w:t>
      </w:r>
      <w:r w:rsidR="00C80DBF">
        <w:rPr>
          <w:rFonts w:cs="Arial"/>
          <w:color w:val="000000"/>
        </w:rPr>
        <w:t xml:space="preserve">proceeding is a civil action and is triable at law. </w:t>
      </w:r>
      <w:r w:rsidR="00BE5337">
        <w:rPr>
          <w:rFonts w:cs="Arial"/>
          <w:color w:val="000000"/>
        </w:rPr>
        <w:t xml:space="preserve"> </w:t>
      </w:r>
      <w:r w:rsidR="00C80DBF">
        <w:rPr>
          <w:rFonts w:cs="Arial"/>
          <w:i/>
          <w:iCs/>
          <w:color w:val="000000"/>
        </w:rPr>
        <w:t>Overton v. State</w:t>
      </w:r>
      <w:r w:rsidR="00C80DBF" w:rsidRPr="00EC1713">
        <w:rPr>
          <w:rFonts w:cs="Arial"/>
          <w:iCs/>
          <w:color w:val="000000"/>
        </w:rPr>
        <w:t>,</w:t>
      </w:r>
      <w:r w:rsidR="00C80DBF">
        <w:rPr>
          <w:rFonts w:cs="Arial"/>
          <w:color w:val="000000"/>
        </w:rPr>
        <w:t xml:space="preserve"> 493 N.W.2d 857, 858 (Iowa 1992). </w:t>
      </w:r>
      <w:r w:rsidR="00BE5337">
        <w:rPr>
          <w:rFonts w:cs="Arial"/>
          <w:color w:val="000000"/>
        </w:rPr>
        <w:t xml:space="preserve"> </w:t>
      </w:r>
      <w:r w:rsidR="00BF1069">
        <w:rPr>
          <w:rFonts w:cs="Arial"/>
          <w:color w:val="000000"/>
          <w:shd w:val="clear" w:color="auto" w:fill="FFFFFF"/>
        </w:rPr>
        <w:t>A PCR proceeding</w:t>
      </w:r>
      <w:r w:rsidR="00C80DBF">
        <w:rPr>
          <w:rFonts w:cs="Arial"/>
          <w:color w:val="000000"/>
        </w:rPr>
        <w:t xml:space="preserve"> is not a means for relitigating claims that were or should have been properly presented at trial or on direct appeal. </w:t>
      </w:r>
      <w:r w:rsidR="00BE5337">
        <w:rPr>
          <w:rFonts w:cs="Arial"/>
          <w:color w:val="000000"/>
        </w:rPr>
        <w:t xml:space="preserve"> </w:t>
      </w:r>
      <w:r w:rsidR="00C80DBF">
        <w:rPr>
          <w:rFonts w:cs="Arial"/>
          <w:i/>
          <w:iCs/>
          <w:color w:val="000000"/>
        </w:rPr>
        <w:t>Earnest v. State</w:t>
      </w:r>
      <w:r w:rsidR="00C80DBF" w:rsidRPr="00EC1713">
        <w:rPr>
          <w:rFonts w:cs="Arial"/>
          <w:iCs/>
          <w:color w:val="000000"/>
        </w:rPr>
        <w:t>,</w:t>
      </w:r>
      <w:r w:rsidR="00C80DBF" w:rsidRPr="00BE5337">
        <w:rPr>
          <w:rFonts w:cs="Arial"/>
          <w:color w:val="000000"/>
        </w:rPr>
        <w:t xml:space="preserve"> </w:t>
      </w:r>
      <w:r w:rsidR="00C80DBF">
        <w:rPr>
          <w:rFonts w:cs="Arial"/>
          <w:color w:val="000000"/>
        </w:rPr>
        <w:t xml:space="preserve">508 N.W.2d 630, 632 (Iowa 1993). </w:t>
      </w:r>
      <w:r w:rsidR="00BE5337">
        <w:rPr>
          <w:rFonts w:cs="Arial"/>
          <w:color w:val="000000"/>
        </w:rPr>
        <w:t xml:space="preserve"> </w:t>
      </w:r>
      <w:r w:rsidR="00C80DBF">
        <w:rPr>
          <w:rFonts w:cs="Arial"/>
          <w:color w:val="000000"/>
        </w:rPr>
        <w:t>Any claim not properly raised at trial or on direct</w:t>
      </w:r>
      <w:r w:rsidR="00442D0E">
        <w:rPr>
          <w:rFonts w:cs="Arial"/>
          <w:color w:val="000000"/>
        </w:rPr>
        <w:t xml:space="preserve"> appeal may not be litigated in</w:t>
      </w:r>
      <w:r w:rsidR="00BF1069">
        <w:rPr>
          <w:rFonts w:cs="Arial"/>
          <w:color w:val="000000"/>
        </w:rPr>
        <w:t xml:space="preserve"> a </w:t>
      </w:r>
      <w:r w:rsidR="00BF1069">
        <w:rPr>
          <w:rFonts w:cs="Arial"/>
          <w:color w:val="000000"/>
          <w:shd w:val="clear" w:color="auto" w:fill="FFFFFF"/>
        </w:rPr>
        <w:t>PCR</w:t>
      </w:r>
      <w:r w:rsidR="00BF1069">
        <w:rPr>
          <w:rFonts w:cs="Arial"/>
          <w:color w:val="000000"/>
        </w:rPr>
        <w:t xml:space="preserve"> proceeding </w:t>
      </w:r>
      <w:r w:rsidR="00C80DBF">
        <w:rPr>
          <w:rFonts w:cs="Arial"/>
          <w:color w:val="000000"/>
        </w:rPr>
        <w:t xml:space="preserve">unless there is sufficient reason for not properly raising it previously. </w:t>
      </w:r>
      <w:r w:rsidR="00BE5337">
        <w:rPr>
          <w:rFonts w:cs="Arial"/>
          <w:color w:val="000000"/>
        </w:rPr>
        <w:t xml:space="preserve"> </w:t>
      </w:r>
      <w:r w:rsidR="00C80DBF">
        <w:rPr>
          <w:rFonts w:cs="Arial"/>
          <w:i/>
          <w:iCs/>
          <w:color w:val="000000"/>
        </w:rPr>
        <w:t>Id.</w:t>
      </w:r>
      <w:r>
        <w:rPr>
          <w:rFonts w:cs="Arial"/>
          <w:color w:val="000000"/>
        </w:rPr>
        <w:t xml:space="preserve">  </w:t>
      </w:r>
      <w:r w:rsidR="00DE1BDB" w:rsidRPr="00DE1BDB">
        <w:t xml:space="preserve">“A postconviction proceeding is not intended as a vehicle for relitigation, on the same factual basis, of issues previously adjudicated, and the principle of </w:t>
      </w:r>
      <w:r w:rsidR="00317D47">
        <w:rPr>
          <w:iCs/>
        </w:rPr>
        <w:t>[r]</w:t>
      </w:r>
      <w:r w:rsidR="00DE1BDB" w:rsidRPr="00DC668E">
        <w:rPr>
          <w:iCs/>
        </w:rPr>
        <w:t>es judicata</w:t>
      </w:r>
      <w:r w:rsidR="00DE1BDB" w:rsidRPr="00DE1BDB">
        <w:rPr>
          <w:i/>
          <w:iCs/>
        </w:rPr>
        <w:t xml:space="preserve"> </w:t>
      </w:r>
      <w:r w:rsidR="00DE1BDB" w:rsidRPr="00DE1BDB">
        <w:lastRenderedPageBreak/>
        <w:t>bars additional litigation on this point.”</w:t>
      </w:r>
      <w:r w:rsidR="00DE1BDB">
        <w:t xml:space="preserve"> </w:t>
      </w:r>
      <w:r w:rsidR="00BE5337">
        <w:t xml:space="preserve"> </w:t>
      </w:r>
      <w:r w:rsidR="00DE1BDB" w:rsidRPr="00DE1BDB">
        <w:rPr>
          <w:i/>
          <w:iCs/>
        </w:rPr>
        <w:t>State v. Wetzel</w:t>
      </w:r>
      <w:r w:rsidR="00DE1BDB" w:rsidRPr="00DC668E">
        <w:rPr>
          <w:iCs/>
        </w:rPr>
        <w:t>,</w:t>
      </w:r>
      <w:r w:rsidR="00DE1BDB" w:rsidRPr="00DE1BDB">
        <w:rPr>
          <w:i/>
          <w:iCs/>
        </w:rPr>
        <w:t xml:space="preserve"> </w:t>
      </w:r>
      <w:r w:rsidR="00DE1BDB" w:rsidRPr="00DE1BDB">
        <w:t>192 N.W.2d 762, 764 (Iowa 1971)</w:t>
      </w:r>
      <w:r w:rsidR="00F52726">
        <w:t xml:space="preserve"> (citation omitted)</w:t>
      </w:r>
      <w:r w:rsidR="00DE1BDB">
        <w:t>.</w:t>
      </w:r>
      <w:r w:rsidR="00DE1BDB">
        <w:rPr>
          <w:sz w:val="28"/>
          <w:szCs w:val="28"/>
        </w:rPr>
        <w:t xml:space="preserve">  </w:t>
      </w:r>
      <w:r>
        <w:rPr>
          <w:rFonts w:cs="Arial"/>
          <w:color w:val="000000"/>
        </w:rPr>
        <w:t>As the district court found, and our review of the record confirms, “</w:t>
      </w:r>
      <w:r w:rsidR="00F52726">
        <w:rPr>
          <w:rFonts w:cs="Arial"/>
          <w:color w:val="000000"/>
        </w:rPr>
        <w:t>T</w:t>
      </w:r>
      <w:r>
        <w:rPr>
          <w:rFonts w:cs="Arial"/>
          <w:color w:val="000000"/>
        </w:rPr>
        <w:t>h</w:t>
      </w:r>
      <w:r>
        <w:rPr>
          <w:rFonts w:cs="Arial"/>
        </w:rPr>
        <w:t xml:space="preserve">e Defendant never denied that he threw something at the correctional officers. </w:t>
      </w:r>
      <w:r w:rsidR="00BE5337">
        <w:rPr>
          <w:rFonts w:cs="Arial"/>
        </w:rPr>
        <w:t xml:space="preserve"> </w:t>
      </w:r>
      <w:r>
        <w:rPr>
          <w:rFonts w:cs="Arial"/>
        </w:rPr>
        <w:t xml:space="preserve">His defense from the day it took place, to the time of trial, until now is that he threw vomit on the officers, not urine.”  That the State erred in </w:t>
      </w:r>
      <w:r w:rsidR="00126965">
        <w:rPr>
          <w:rFonts w:cs="Arial"/>
        </w:rPr>
        <w:t>a pleading</w:t>
      </w:r>
      <w:r w:rsidR="00BE5337">
        <w:rPr>
          <w:rFonts w:cs="Arial"/>
        </w:rPr>
        <w:t>—</w:t>
      </w:r>
      <w:r>
        <w:rPr>
          <w:rFonts w:cs="Arial"/>
        </w:rPr>
        <w:t>its answer</w:t>
      </w:r>
      <w:r w:rsidR="00BE5337">
        <w:rPr>
          <w:rFonts w:cs="Arial"/>
        </w:rPr>
        <w:t>—</w:t>
      </w:r>
      <w:r>
        <w:rPr>
          <w:rFonts w:cs="Arial"/>
        </w:rPr>
        <w:t>in this civil PCR action does not allow a relitigation of Wilson’s claim that was presented and rejected</w:t>
      </w:r>
      <w:r w:rsidR="00491EA6">
        <w:rPr>
          <w:rFonts w:cs="Arial"/>
        </w:rPr>
        <w:t xml:space="preserve"> at his criminal trial</w:t>
      </w:r>
      <w:r w:rsidR="00DE1BDB">
        <w:rPr>
          <w:rFonts w:cs="Arial"/>
        </w:rPr>
        <w:t xml:space="preserve"> and on direct appeal</w:t>
      </w:r>
      <w:r w:rsidR="00491EA6">
        <w:rPr>
          <w:rFonts w:cs="Arial"/>
        </w:rPr>
        <w:t xml:space="preserve">. </w:t>
      </w:r>
    </w:p>
    <w:p w14:paraId="2B46F75B" w14:textId="6C4739F4" w:rsidR="00831ED8" w:rsidRDefault="00126965" w:rsidP="00DC668E">
      <w:pPr>
        <w:tabs>
          <w:tab w:val="clear" w:pos="720"/>
        </w:tabs>
        <w:autoSpaceDE w:val="0"/>
        <w:autoSpaceDN w:val="0"/>
        <w:adjustRightInd w:val="0"/>
        <w:spacing w:line="480" w:lineRule="auto"/>
        <w:rPr>
          <w:rFonts w:cs="Arial"/>
        </w:rPr>
      </w:pPr>
      <w:r>
        <w:rPr>
          <w:rFonts w:cs="Arial"/>
        </w:rPr>
        <w:tab/>
        <w:t xml:space="preserve">Wilson could challenge the </w:t>
      </w:r>
      <w:r w:rsidR="00485F04">
        <w:rPr>
          <w:rFonts w:cs="Arial"/>
        </w:rPr>
        <w:t>guilty verdict</w:t>
      </w:r>
      <w:r>
        <w:rPr>
          <w:rFonts w:cs="Arial"/>
        </w:rPr>
        <w:t xml:space="preserve"> by way of a claim of newly</w:t>
      </w:r>
      <w:r w:rsidR="00442D0E">
        <w:rPr>
          <w:rFonts w:cs="Arial"/>
        </w:rPr>
        <w:t>-</w:t>
      </w:r>
      <w:r>
        <w:rPr>
          <w:rFonts w:cs="Arial"/>
        </w:rPr>
        <w:t xml:space="preserve">discovered evidence. </w:t>
      </w:r>
      <w:r w:rsidR="00BE5337">
        <w:rPr>
          <w:rFonts w:cs="Arial"/>
        </w:rPr>
        <w:t xml:space="preserve"> </w:t>
      </w:r>
      <w:r w:rsidR="00E95D9C" w:rsidRPr="00E95D9C">
        <w:rPr>
          <w:rFonts w:cs="Arial"/>
          <w:color w:val="000000"/>
        </w:rPr>
        <w:t xml:space="preserve">To prevail on </w:t>
      </w:r>
      <w:r w:rsidR="00485F04">
        <w:rPr>
          <w:rFonts w:cs="Arial"/>
          <w:color w:val="000000"/>
        </w:rPr>
        <w:t>such a</w:t>
      </w:r>
      <w:r w:rsidR="00E95D9C" w:rsidRPr="00E95D9C">
        <w:rPr>
          <w:rFonts w:cs="Arial"/>
          <w:color w:val="000000"/>
        </w:rPr>
        <w:t xml:space="preserve"> claim, </w:t>
      </w:r>
      <w:r w:rsidR="00E95D9C">
        <w:rPr>
          <w:rFonts w:cs="Arial"/>
          <w:color w:val="000000"/>
        </w:rPr>
        <w:t xml:space="preserve">Wilson is </w:t>
      </w:r>
      <w:r w:rsidR="00E95D9C" w:rsidRPr="00E95D9C">
        <w:rPr>
          <w:rFonts w:cs="Arial"/>
          <w:color w:val="000000"/>
        </w:rPr>
        <w:t>required to show:</w:t>
      </w:r>
      <w:r w:rsidR="00E95D9C">
        <w:rPr>
          <w:rFonts w:cs="Arial"/>
          <w:color w:val="000000"/>
        </w:rPr>
        <w:t xml:space="preserve"> </w:t>
      </w:r>
      <w:r w:rsidR="00E95D9C" w:rsidRPr="00E95D9C">
        <w:rPr>
          <w:rFonts w:cs="Arial"/>
          <w:color w:val="000000"/>
        </w:rPr>
        <w:t>(1) that the evidence was discovered after the verdict</w:t>
      </w:r>
      <w:r w:rsidR="000B2A30">
        <w:rPr>
          <w:rFonts w:cs="Arial"/>
          <w:color w:val="000000"/>
        </w:rPr>
        <w:t>,</w:t>
      </w:r>
      <w:r w:rsidR="00E95D9C" w:rsidRPr="00E95D9C">
        <w:rPr>
          <w:rFonts w:cs="Arial"/>
          <w:color w:val="000000"/>
        </w:rPr>
        <w:t xml:space="preserve"> (2) that it could not have been discovered earlier in the exercise of due diligence</w:t>
      </w:r>
      <w:r w:rsidR="000B2A30">
        <w:rPr>
          <w:rFonts w:cs="Arial"/>
          <w:color w:val="000000"/>
        </w:rPr>
        <w:t>,</w:t>
      </w:r>
      <w:r w:rsidR="00E95D9C" w:rsidRPr="00E95D9C">
        <w:rPr>
          <w:rFonts w:cs="Arial"/>
          <w:color w:val="000000"/>
        </w:rPr>
        <w:t xml:space="preserve"> (3) that the evidence is material to the issues in the case and not merely cumulative or impeaching</w:t>
      </w:r>
      <w:r w:rsidR="000B2A30">
        <w:rPr>
          <w:rFonts w:cs="Arial"/>
          <w:color w:val="000000"/>
        </w:rPr>
        <w:t>,</w:t>
      </w:r>
      <w:r w:rsidR="00E95D9C" w:rsidRPr="00E95D9C">
        <w:rPr>
          <w:rFonts w:cs="Arial"/>
          <w:color w:val="000000"/>
        </w:rPr>
        <w:t xml:space="preserve"> and (4) that the evidence probably would have changed the result of the trial.</w:t>
      </w:r>
      <w:r w:rsidR="00E95D9C">
        <w:rPr>
          <w:rFonts w:cs="Arial"/>
          <w:color w:val="000000"/>
        </w:rPr>
        <w:t xml:space="preserve">  </w:t>
      </w:r>
      <w:r w:rsidR="00317D47">
        <w:rPr>
          <w:rFonts w:cs="Arial"/>
          <w:i/>
          <w:color w:val="000000"/>
        </w:rPr>
        <w:t xml:space="preserve">See </w:t>
      </w:r>
      <w:r w:rsidR="00E95D9C" w:rsidRPr="00E95D9C">
        <w:rPr>
          <w:rFonts w:cs="Arial"/>
          <w:i/>
          <w:color w:val="000000"/>
        </w:rPr>
        <w:t>Harrington v. State</w:t>
      </w:r>
      <w:r w:rsidR="00E95D9C" w:rsidRPr="00E95D9C">
        <w:rPr>
          <w:rFonts w:cs="Arial"/>
          <w:color w:val="000000"/>
        </w:rPr>
        <w:t>, 659 N.W.2d 509, 516 (Iowa 2003)</w:t>
      </w:r>
      <w:r w:rsidR="00E95D9C">
        <w:rPr>
          <w:rFonts w:cs="Arial"/>
          <w:color w:val="000000"/>
        </w:rPr>
        <w:t>.  Wilson does not argue that the State’s answer containing the admission that Wilson threw vomit as opposed to urine is newly</w:t>
      </w:r>
      <w:r w:rsidR="000B2A30">
        <w:rPr>
          <w:rFonts w:cs="Arial"/>
          <w:color w:val="000000"/>
        </w:rPr>
        <w:t>-</w:t>
      </w:r>
      <w:r w:rsidR="00E95D9C">
        <w:rPr>
          <w:rFonts w:cs="Arial"/>
          <w:color w:val="000000"/>
        </w:rPr>
        <w:t xml:space="preserve">discovered evidence.  Even if he would, we </w:t>
      </w:r>
      <w:r w:rsidR="00DF5229">
        <w:rPr>
          <w:rFonts w:cs="Arial"/>
          <w:color w:val="000000"/>
        </w:rPr>
        <w:t>are not obligated to find that an admission in this civil proceeding constitutes newly</w:t>
      </w:r>
      <w:r w:rsidR="000B2A30">
        <w:rPr>
          <w:rFonts w:cs="Arial"/>
          <w:color w:val="000000"/>
        </w:rPr>
        <w:t>-</w:t>
      </w:r>
      <w:r w:rsidR="00DF5229">
        <w:rPr>
          <w:rFonts w:cs="Arial"/>
          <w:color w:val="000000"/>
        </w:rPr>
        <w:t xml:space="preserve">discovered evidence sufficient to overcome the actual evidence presented by the State at the criminal trial.  We agree with the trial court that </w:t>
      </w:r>
      <w:r w:rsidR="00DF5229">
        <w:rPr>
          <w:rFonts w:cs="Arial"/>
        </w:rPr>
        <w:t>the</w:t>
      </w:r>
      <w:r w:rsidR="00DE68D8">
        <w:rPr>
          <w:rFonts w:cs="Arial"/>
        </w:rPr>
        <w:t xml:space="preserve"> </w:t>
      </w:r>
      <w:r w:rsidR="00DF5229">
        <w:rPr>
          <w:rFonts w:cs="Arial"/>
        </w:rPr>
        <w:t>credible evidence at trial was that the substance involved could not have been vomit</w:t>
      </w:r>
      <w:r w:rsidR="00485F04">
        <w:rPr>
          <w:rFonts w:cs="Arial"/>
        </w:rPr>
        <w:t>; it was urine</w:t>
      </w:r>
      <w:r w:rsidR="00DF5229">
        <w:rPr>
          <w:rFonts w:cs="Arial"/>
        </w:rPr>
        <w:t>.  Wilson cannot prevail on this issue.</w:t>
      </w:r>
    </w:p>
    <w:p w14:paraId="3F1EFB72" w14:textId="7C340ACE" w:rsidR="00DF5229" w:rsidRPr="0006603D" w:rsidRDefault="00831ED8" w:rsidP="00831ED8">
      <w:pPr>
        <w:tabs>
          <w:tab w:val="clear" w:pos="720"/>
        </w:tabs>
        <w:autoSpaceDE w:val="0"/>
        <w:autoSpaceDN w:val="0"/>
        <w:adjustRightInd w:val="0"/>
        <w:spacing w:line="480" w:lineRule="auto"/>
        <w:ind w:firstLine="720"/>
        <w:rPr>
          <w:rFonts w:cs="Arial"/>
          <w:b/>
        </w:rPr>
      </w:pPr>
      <w:r w:rsidRPr="0006603D">
        <w:rPr>
          <w:rFonts w:cs="Arial"/>
          <w:b/>
        </w:rPr>
        <w:t xml:space="preserve">B. </w:t>
      </w:r>
      <w:r w:rsidR="00DF5229" w:rsidRPr="0006603D">
        <w:rPr>
          <w:rFonts w:cs="Arial"/>
          <w:b/>
          <w:color w:val="000000"/>
        </w:rPr>
        <w:t xml:space="preserve">Ineffective </w:t>
      </w:r>
      <w:r w:rsidR="00F52726" w:rsidRPr="0006603D">
        <w:rPr>
          <w:rFonts w:cs="Arial"/>
          <w:b/>
          <w:color w:val="000000"/>
        </w:rPr>
        <w:t>A</w:t>
      </w:r>
      <w:r w:rsidR="00DF5229" w:rsidRPr="0006603D">
        <w:rPr>
          <w:rFonts w:cs="Arial"/>
          <w:b/>
          <w:color w:val="000000"/>
        </w:rPr>
        <w:t xml:space="preserve">ssistance of </w:t>
      </w:r>
      <w:r w:rsidR="00F52726" w:rsidRPr="0006603D">
        <w:rPr>
          <w:rFonts w:cs="Arial"/>
          <w:b/>
          <w:color w:val="000000"/>
        </w:rPr>
        <w:t>C</w:t>
      </w:r>
      <w:r w:rsidR="00DF5229" w:rsidRPr="0006603D">
        <w:rPr>
          <w:rFonts w:cs="Arial"/>
          <w:b/>
          <w:color w:val="000000"/>
        </w:rPr>
        <w:t xml:space="preserve">ounsel. </w:t>
      </w:r>
    </w:p>
    <w:p w14:paraId="5B8AD936" w14:textId="3B1D3EA1" w:rsidR="00126965" w:rsidRDefault="007F27A2" w:rsidP="007F27A2">
      <w:pPr>
        <w:tabs>
          <w:tab w:val="clear" w:pos="720"/>
        </w:tabs>
        <w:autoSpaceDE w:val="0"/>
        <w:autoSpaceDN w:val="0"/>
        <w:adjustRightInd w:val="0"/>
        <w:spacing w:line="480" w:lineRule="auto"/>
        <w:ind w:firstLine="720"/>
        <w:rPr>
          <w:rFonts w:cs="Arial"/>
          <w:color w:val="000000"/>
        </w:rPr>
      </w:pPr>
      <w:r>
        <w:rPr>
          <w:rFonts w:cs="Arial"/>
          <w:color w:val="000000"/>
        </w:rPr>
        <w:t xml:space="preserve">Wilson asserts that his criminal trial attorney was ineffective </w:t>
      </w:r>
      <w:r w:rsidR="008927C9">
        <w:rPr>
          <w:rFonts w:cs="Arial"/>
          <w:color w:val="000000"/>
        </w:rPr>
        <w:t xml:space="preserve">(1) </w:t>
      </w:r>
      <w:r>
        <w:rPr>
          <w:rFonts w:cs="Arial"/>
          <w:color w:val="000000"/>
        </w:rPr>
        <w:t xml:space="preserve">for failing to take depositions before trial, </w:t>
      </w:r>
      <w:r w:rsidR="008927C9">
        <w:rPr>
          <w:rFonts w:cs="Arial"/>
          <w:color w:val="000000"/>
        </w:rPr>
        <w:t xml:space="preserve">(2) </w:t>
      </w:r>
      <w:r>
        <w:rPr>
          <w:rFonts w:cs="Arial"/>
          <w:color w:val="000000"/>
        </w:rPr>
        <w:t>ask</w:t>
      </w:r>
      <w:r w:rsidR="00485F04">
        <w:rPr>
          <w:rFonts w:cs="Arial"/>
          <w:color w:val="000000"/>
        </w:rPr>
        <w:t>ing</w:t>
      </w:r>
      <w:r>
        <w:rPr>
          <w:rFonts w:cs="Arial"/>
          <w:color w:val="000000"/>
        </w:rPr>
        <w:t xml:space="preserve"> open-ended questions during trial that </w:t>
      </w:r>
      <w:r>
        <w:rPr>
          <w:rFonts w:cs="Arial"/>
          <w:color w:val="000000"/>
        </w:rPr>
        <w:lastRenderedPageBreak/>
        <w:t xml:space="preserve">allowed evidence that showed Wilson in a bad light, and </w:t>
      </w:r>
      <w:r w:rsidR="008927C9">
        <w:rPr>
          <w:rFonts w:cs="Arial"/>
          <w:color w:val="000000"/>
        </w:rPr>
        <w:t xml:space="preserve">(3) </w:t>
      </w:r>
      <w:r>
        <w:rPr>
          <w:rFonts w:cs="Arial"/>
          <w:color w:val="000000"/>
        </w:rPr>
        <w:t>fail</w:t>
      </w:r>
      <w:r w:rsidR="00485F04">
        <w:rPr>
          <w:rFonts w:cs="Arial"/>
          <w:color w:val="000000"/>
        </w:rPr>
        <w:t>ing</w:t>
      </w:r>
      <w:r>
        <w:rPr>
          <w:rFonts w:cs="Arial"/>
          <w:color w:val="000000"/>
        </w:rPr>
        <w:t xml:space="preserve"> to object </w:t>
      </w:r>
      <w:r w:rsidR="00DE1BDB">
        <w:rPr>
          <w:rFonts w:cs="Arial"/>
          <w:color w:val="000000"/>
        </w:rPr>
        <w:t xml:space="preserve">during trial </w:t>
      </w:r>
      <w:r>
        <w:rPr>
          <w:rFonts w:cs="Arial"/>
          <w:color w:val="000000"/>
        </w:rPr>
        <w:t xml:space="preserve">to certain </w:t>
      </w:r>
      <w:r w:rsidR="00485F04">
        <w:rPr>
          <w:rFonts w:cs="Arial"/>
          <w:color w:val="000000"/>
        </w:rPr>
        <w:t>bad</w:t>
      </w:r>
      <w:r w:rsidR="000B2A30">
        <w:rPr>
          <w:rFonts w:cs="Arial"/>
          <w:color w:val="000000"/>
        </w:rPr>
        <w:t>-</w:t>
      </w:r>
      <w:r w:rsidR="00485F04">
        <w:rPr>
          <w:rFonts w:cs="Arial"/>
          <w:color w:val="000000"/>
        </w:rPr>
        <w:t xml:space="preserve">acts </w:t>
      </w:r>
      <w:r w:rsidR="00DE1BDB">
        <w:rPr>
          <w:rFonts w:cs="Arial"/>
          <w:color w:val="000000"/>
        </w:rPr>
        <w:t>evidence</w:t>
      </w:r>
      <w:r>
        <w:rPr>
          <w:rFonts w:cs="Arial"/>
          <w:color w:val="000000"/>
        </w:rPr>
        <w:t xml:space="preserve">.  </w:t>
      </w:r>
      <w:r w:rsidR="00D70221">
        <w:rPr>
          <w:rFonts w:cs="Arial"/>
          <w:color w:val="000000"/>
        </w:rPr>
        <w:t xml:space="preserve">Wilson’s trial counsel explained in his deposition that he discussed taking the depositions of the five jailers with Wilson.  They decided not to depose these witnesses since that would give them an opportunity to correlate their stories.  Wilson’s counsel had already obtained the jailers’ written reports and the jail </w:t>
      </w:r>
      <w:r w:rsidR="008927C9">
        <w:rPr>
          <w:rFonts w:cs="Arial"/>
          <w:color w:val="000000"/>
        </w:rPr>
        <w:t xml:space="preserve">surveillance </w:t>
      </w:r>
      <w:r w:rsidR="00D70221">
        <w:rPr>
          <w:rFonts w:cs="Arial"/>
          <w:color w:val="000000"/>
        </w:rPr>
        <w:t xml:space="preserve">video of the incident. </w:t>
      </w:r>
      <w:r w:rsidR="00F52726">
        <w:rPr>
          <w:rFonts w:cs="Arial"/>
          <w:color w:val="000000"/>
        </w:rPr>
        <w:t xml:space="preserve"> </w:t>
      </w:r>
      <w:r w:rsidR="00D70221">
        <w:rPr>
          <w:rFonts w:cs="Arial"/>
          <w:color w:val="000000"/>
        </w:rPr>
        <w:t>Wilson’s counsel felt that he had sufficient information and the depositions were not needed.</w:t>
      </w:r>
      <w:r w:rsidR="008927C9">
        <w:rPr>
          <w:rFonts w:cs="Arial"/>
          <w:color w:val="000000"/>
        </w:rPr>
        <w:t xml:space="preserve"> </w:t>
      </w:r>
      <w:r w:rsidR="00F52726">
        <w:rPr>
          <w:rFonts w:cs="Arial"/>
          <w:color w:val="000000"/>
        </w:rPr>
        <w:t xml:space="preserve"> </w:t>
      </w:r>
      <w:r w:rsidR="008927C9" w:rsidRPr="008927C9">
        <w:t xml:space="preserve">“[S]trategic choices made after thorough investigation of law and facts relevant to plausible options are virtually unchallengeable; and strategic choices made after less than complete investigation are reasonable precisely to the extent that reasonable professional judgments support the limitations on investigation.” </w:t>
      </w:r>
      <w:r w:rsidR="00F52726">
        <w:t xml:space="preserve"> </w:t>
      </w:r>
      <w:r w:rsidR="008927C9" w:rsidRPr="008927C9">
        <w:rPr>
          <w:i/>
          <w:iCs/>
        </w:rPr>
        <w:t>Strickland</w:t>
      </w:r>
      <w:r w:rsidR="008927C9" w:rsidRPr="008927C9">
        <w:t>, 466 U.S.</w:t>
      </w:r>
      <w:r w:rsidR="008927C9" w:rsidRPr="008927C9">
        <w:rPr>
          <w:i/>
          <w:iCs/>
        </w:rPr>
        <w:t xml:space="preserve"> </w:t>
      </w:r>
      <w:r w:rsidR="008927C9" w:rsidRPr="008927C9">
        <w:t>at 690</w:t>
      </w:r>
      <w:r w:rsidR="00F52726">
        <w:t>–</w:t>
      </w:r>
      <w:r w:rsidR="008927C9" w:rsidRPr="008927C9">
        <w:t>91.</w:t>
      </w:r>
    </w:p>
    <w:p w14:paraId="0D6E8ECF" w14:textId="4DE83BD3" w:rsidR="00831ED8" w:rsidRDefault="008927C9" w:rsidP="00DC668E">
      <w:pPr>
        <w:tabs>
          <w:tab w:val="clear" w:pos="720"/>
        </w:tabs>
        <w:autoSpaceDE w:val="0"/>
        <w:autoSpaceDN w:val="0"/>
        <w:adjustRightInd w:val="0"/>
        <w:spacing w:line="480" w:lineRule="auto"/>
        <w:ind w:firstLine="720"/>
        <w:rPr>
          <w:rFonts w:cs="Arial"/>
        </w:rPr>
      </w:pPr>
      <w:r>
        <w:rPr>
          <w:rFonts w:cs="Arial"/>
          <w:color w:val="000000"/>
        </w:rPr>
        <w:t xml:space="preserve">In addition, Wilson’s claim of ineffective assistance can be disposed of on the prejudice prong.  As the district court pointed out, </w:t>
      </w:r>
      <w:r w:rsidR="00D70221">
        <w:rPr>
          <w:rFonts w:cs="Arial"/>
        </w:rPr>
        <w:t>“But that does not mean the performance of the attorney affected the outcome of this case.</w:t>
      </w:r>
      <w:r w:rsidR="00F52726">
        <w:rPr>
          <w:rFonts w:cs="Arial"/>
        </w:rPr>
        <w:t xml:space="preserve"> </w:t>
      </w:r>
      <w:r w:rsidR="00D70221">
        <w:rPr>
          <w:rFonts w:cs="Arial"/>
        </w:rPr>
        <w:t xml:space="preserve"> It is important to remember the posture of the defense in this case. </w:t>
      </w:r>
      <w:r w:rsidR="00F52726">
        <w:rPr>
          <w:rFonts w:cs="Arial"/>
        </w:rPr>
        <w:t xml:space="preserve"> </w:t>
      </w:r>
      <w:r w:rsidR="00D70221">
        <w:rPr>
          <w:rFonts w:cs="Arial"/>
        </w:rPr>
        <w:t>The Defendant never denied that he threw something at the correctional officers.”</w:t>
      </w:r>
      <w:r>
        <w:rPr>
          <w:rFonts w:cs="Arial"/>
        </w:rPr>
        <w:t xml:space="preserve">  Wilson’s sole contention was that he threw vomit, not urine.</w:t>
      </w:r>
      <w:r w:rsidR="00F52726">
        <w:rPr>
          <w:rFonts w:cs="Arial"/>
        </w:rPr>
        <w:t xml:space="preserve"> </w:t>
      </w:r>
      <w:r>
        <w:rPr>
          <w:rFonts w:cs="Arial"/>
        </w:rPr>
        <w:t xml:space="preserve"> This contention was not supported by evidence other than Wilson’s testimony.  It was rejected by the jury and </w:t>
      </w:r>
      <w:r w:rsidR="00024287">
        <w:rPr>
          <w:rFonts w:cs="Arial"/>
        </w:rPr>
        <w:t xml:space="preserve">by this </w:t>
      </w:r>
      <w:r w:rsidR="00024287" w:rsidRPr="00317D47">
        <w:rPr>
          <w:rFonts w:cs="Arial"/>
        </w:rPr>
        <w:t xml:space="preserve">court on appeal. </w:t>
      </w:r>
      <w:r w:rsidR="00317D47" w:rsidRPr="00317D47">
        <w:rPr>
          <w:rFonts w:cs="Arial"/>
        </w:rPr>
        <w:t xml:space="preserve"> </w:t>
      </w:r>
      <w:r w:rsidR="005A0009" w:rsidRPr="00317D47">
        <w:rPr>
          <w:rFonts w:cs="Arial"/>
          <w:i/>
        </w:rPr>
        <w:t>State v. Wilson</w:t>
      </w:r>
      <w:r w:rsidR="005A0009" w:rsidRPr="00317D47">
        <w:rPr>
          <w:rFonts w:cs="Arial"/>
        </w:rPr>
        <w:t>,</w:t>
      </w:r>
      <w:r w:rsidR="005A0009" w:rsidRPr="00317D47">
        <w:rPr>
          <w:rFonts w:cs="Arial"/>
          <w:i/>
        </w:rPr>
        <w:t xml:space="preserve"> </w:t>
      </w:r>
      <w:r w:rsidR="005A0009" w:rsidRPr="00317D47">
        <w:rPr>
          <w:rFonts w:cs="Arial"/>
        </w:rPr>
        <w:t>No. 11-2014,</w:t>
      </w:r>
      <w:r w:rsidR="005A0009" w:rsidRPr="00317D47">
        <w:rPr>
          <w:rFonts w:cs="Arial"/>
          <w:i/>
        </w:rPr>
        <w:t xml:space="preserve"> </w:t>
      </w:r>
      <w:r w:rsidR="005A0009" w:rsidRPr="00317D47">
        <w:t>2013 WL 988921, at *3 (“</w:t>
      </w:r>
      <w:r w:rsidR="005A0009" w:rsidRPr="00317D47">
        <w:rPr>
          <w:rFonts w:cs="Arial"/>
        </w:rPr>
        <w:t>The jury received suffic</w:t>
      </w:r>
      <w:r w:rsidR="00317D47" w:rsidRPr="00317D47">
        <w:rPr>
          <w:rFonts w:cs="Arial"/>
        </w:rPr>
        <w:t>ient evidence to support Wilson’</w:t>
      </w:r>
      <w:r w:rsidR="005A0009" w:rsidRPr="00317D47">
        <w:rPr>
          <w:rFonts w:cs="Arial"/>
        </w:rPr>
        <w:t>s convictions</w:t>
      </w:r>
      <w:r w:rsidR="005A0009" w:rsidRPr="00317D47">
        <w:rPr>
          <w:rFonts w:cs="Arial"/>
          <w:sz w:val="21"/>
          <w:szCs w:val="21"/>
        </w:rPr>
        <w:t>.”)</w:t>
      </w:r>
      <w:r w:rsidR="005A0009" w:rsidRPr="00317D47">
        <w:t>.</w:t>
      </w:r>
      <w:r w:rsidR="00024287" w:rsidRPr="00317D47">
        <w:rPr>
          <w:rFonts w:cs="Arial"/>
        </w:rPr>
        <w:t xml:space="preserve"> That Wilson’s counsel did not take depositions, asked open-ended questions that showed him </w:t>
      </w:r>
      <w:r w:rsidR="00024287">
        <w:rPr>
          <w:rFonts w:cs="Arial"/>
          <w:color w:val="000000"/>
        </w:rPr>
        <w:t>in a bad light, or failed to object to certain bad</w:t>
      </w:r>
      <w:r w:rsidR="00F52726">
        <w:rPr>
          <w:rFonts w:cs="Arial"/>
          <w:color w:val="000000"/>
        </w:rPr>
        <w:t>-</w:t>
      </w:r>
      <w:r w:rsidR="00024287">
        <w:rPr>
          <w:rFonts w:cs="Arial"/>
          <w:color w:val="000000"/>
        </w:rPr>
        <w:t xml:space="preserve">acts evidence would not have changed the verdict.  </w:t>
      </w:r>
      <w:r w:rsidR="00024287">
        <w:rPr>
          <w:rFonts w:cs="Arial"/>
        </w:rPr>
        <w:t>I</w:t>
      </w:r>
      <w:r w:rsidR="00024287" w:rsidRPr="00033B0B">
        <w:rPr>
          <w:rFonts w:cs="Arial"/>
          <w:color w:val="212121"/>
        </w:rPr>
        <w:t xml:space="preserve">f </w:t>
      </w:r>
      <w:r w:rsidR="00024287">
        <w:rPr>
          <w:rFonts w:cs="Arial"/>
          <w:color w:val="212121"/>
        </w:rPr>
        <w:t>the</w:t>
      </w:r>
      <w:r w:rsidR="00024287" w:rsidRPr="00033B0B">
        <w:rPr>
          <w:rFonts w:cs="Arial"/>
          <w:color w:val="212121"/>
        </w:rPr>
        <w:t xml:space="preserve"> claim lacks the necessary prejudice we “can decide the case on the prejudice </w:t>
      </w:r>
      <w:r w:rsidR="00024287" w:rsidRPr="00033B0B">
        <w:rPr>
          <w:rFonts w:cs="Arial"/>
          <w:color w:val="212121"/>
        </w:rPr>
        <w:lastRenderedPageBreak/>
        <w:t xml:space="preserve">prong of the test without deciding whether the attorney performed deficiently.” </w:t>
      </w:r>
      <w:r w:rsidR="00F52726">
        <w:rPr>
          <w:rFonts w:cs="Arial"/>
          <w:color w:val="212121"/>
        </w:rPr>
        <w:t xml:space="preserve"> </w:t>
      </w:r>
      <w:r w:rsidR="00024287" w:rsidRPr="00033B0B">
        <w:rPr>
          <w:rFonts w:cs="Arial"/>
          <w:i/>
          <w:iCs/>
        </w:rPr>
        <w:t>State v. Maxwell</w:t>
      </w:r>
      <w:r w:rsidR="00024287" w:rsidRPr="00DC668E">
        <w:rPr>
          <w:rFonts w:cs="Arial"/>
          <w:iCs/>
        </w:rPr>
        <w:t>,</w:t>
      </w:r>
      <w:r w:rsidR="00024287" w:rsidRPr="00F52726">
        <w:rPr>
          <w:rFonts w:cs="Arial"/>
        </w:rPr>
        <w:t xml:space="preserve"> </w:t>
      </w:r>
      <w:r w:rsidR="00024287" w:rsidRPr="00033B0B">
        <w:rPr>
          <w:rFonts w:cs="Arial"/>
        </w:rPr>
        <w:t>743 N.W.2d 185, 196 (Iowa 2008).</w:t>
      </w:r>
      <w:r w:rsidR="00024287">
        <w:rPr>
          <w:rFonts w:cs="Arial"/>
        </w:rPr>
        <w:t xml:space="preserve">  </w:t>
      </w:r>
      <w:r w:rsidR="00536078">
        <w:rPr>
          <w:rFonts w:cs="Arial"/>
        </w:rPr>
        <w:t xml:space="preserve">Upon our de novo review, we determine </w:t>
      </w:r>
      <w:r w:rsidR="00024287">
        <w:rPr>
          <w:rFonts w:cs="Arial"/>
        </w:rPr>
        <w:t>Wilson’s ineffective</w:t>
      </w:r>
      <w:r w:rsidR="00F52726">
        <w:rPr>
          <w:rFonts w:cs="Arial"/>
        </w:rPr>
        <w:t>-</w:t>
      </w:r>
      <w:r w:rsidR="00024287">
        <w:rPr>
          <w:rFonts w:cs="Arial"/>
        </w:rPr>
        <w:t>assistance</w:t>
      </w:r>
      <w:r w:rsidR="00F52726">
        <w:rPr>
          <w:rFonts w:cs="Arial"/>
        </w:rPr>
        <w:t>-</w:t>
      </w:r>
      <w:r w:rsidR="00024287">
        <w:rPr>
          <w:rFonts w:cs="Arial"/>
        </w:rPr>
        <w:t>of</w:t>
      </w:r>
      <w:r w:rsidR="00F52726">
        <w:rPr>
          <w:rFonts w:cs="Arial"/>
        </w:rPr>
        <w:t>-</w:t>
      </w:r>
      <w:r w:rsidR="00024287">
        <w:rPr>
          <w:rFonts w:cs="Arial"/>
        </w:rPr>
        <w:t>counsel claim fails.</w:t>
      </w:r>
    </w:p>
    <w:p w14:paraId="46E9B2D8" w14:textId="17C3F622" w:rsidR="00024287" w:rsidRPr="0006603D" w:rsidRDefault="00831ED8" w:rsidP="00831ED8">
      <w:pPr>
        <w:tabs>
          <w:tab w:val="clear" w:pos="720"/>
        </w:tabs>
        <w:autoSpaceDE w:val="0"/>
        <w:autoSpaceDN w:val="0"/>
        <w:adjustRightInd w:val="0"/>
        <w:spacing w:line="480" w:lineRule="auto"/>
        <w:ind w:firstLine="720"/>
        <w:rPr>
          <w:rFonts w:cs="Arial"/>
          <w:b/>
        </w:rPr>
      </w:pPr>
      <w:r w:rsidRPr="0006603D">
        <w:rPr>
          <w:rFonts w:cs="Arial"/>
          <w:b/>
        </w:rPr>
        <w:t xml:space="preserve">C. </w:t>
      </w:r>
      <w:r w:rsidR="00024287" w:rsidRPr="0006603D">
        <w:rPr>
          <w:b/>
        </w:rPr>
        <w:t xml:space="preserve">Cruel and </w:t>
      </w:r>
      <w:r w:rsidR="00F52726" w:rsidRPr="0006603D">
        <w:rPr>
          <w:b/>
        </w:rPr>
        <w:t>U</w:t>
      </w:r>
      <w:r w:rsidR="00024287" w:rsidRPr="0006603D">
        <w:rPr>
          <w:b/>
        </w:rPr>
        <w:t xml:space="preserve">nusual </w:t>
      </w:r>
      <w:r w:rsidR="00F52726" w:rsidRPr="0006603D">
        <w:rPr>
          <w:b/>
        </w:rPr>
        <w:t>P</w:t>
      </w:r>
      <w:r w:rsidR="00024287" w:rsidRPr="0006603D">
        <w:rPr>
          <w:b/>
        </w:rPr>
        <w:t>unishment.</w:t>
      </w:r>
    </w:p>
    <w:p w14:paraId="76CE20C6" w14:textId="347769AF" w:rsidR="00024287" w:rsidRDefault="00536078" w:rsidP="00536078">
      <w:pPr>
        <w:tabs>
          <w:tab w:val="clear" w:pos="720"/>
        </w:tabs>
        <w:autoSpaceDE w:val="0"/>
        <w:autoSpaceDN w:val="0"/>
        <w:adjustRightInd w:val="0"/>
        <w:spacing w:line="480" w:lineRule="auto"/>
        <w:ind w:firstLine="720"/>
        <w:rPr>
          <w:rFonts w:cs="Arial"/>
        </w:rPr>
      </w:pPr>
      <w:r>
        <w:t xml:space="preserve">Wilson contends his consecutive sentences totaling seventeen years </w:t>
      </w:r>
      <w:r w:rsidR="00C428BE">
        <w:t xml:space="preserve">of incarceration </w:t>
      </w:r>
      <w:r>
        <w:t>are unconstitutional because he is being punished for one act</w:t>
      </w:r>
      <w:r w:rsidR="00FC520E">
        <w:t>—</w:t>
      </w:r>
      <w:r>
        <w:t xml:space="preserve">the throwing of urine from a container. </w:t>
      </w:r>
      <w:r w:rsidR="00FC520E">
        <w:t xml:space="preserve"> </w:t>
      </w:r>
      <w:r w:rsidRPr="00536078">
        <w:rPr>
          <w:rFonts w:cs="Arial"/>
        </w:rPr>
        <w:t>Wilson also argue</w:t>
      </w:r>
      <w:r>
        <w:rPr>
          <w:rFonts w:cs="Arial"/>
        </w:rPr>
        <w:t>s</w:t>
      </w:r>
      <w:r w:rsidRPr="00536078">
        <w:rPr>
          <w:rFonts w:cs="Arial"/>
        </w:rPr>
        <w:t xml:space="preserve"> that</w:t>
      </w:r>
      <w:r>
        <w:rPr>
          <w:rFonts w:cs="Arial"/>
        </w:rPr>
        <w:t xml:space="preserve"> </w:t>
      </w:r>
      <w:r w:rsidRPr="00536078">
        <w:rPr>
          <w:rFonts w:cs="Arial"/>
        </w:rPr>
        <w:t xml:space="preserve">his </w:t>
      </w:r>
      <w:r w:rsidR="00FC520E">
        <w:rPr>
          <w:rFonts w:cs="Arial"/>
        </w:rPr>
        <w:t>seventeen-</w:t>
      </w:r>
      <w:r w:rsidRPr="00536078">
        <w:rPr>
          <w:rFonts w:cs="Arial"/>
        </w:rPr>
        <w:t>year sentence (all counts ran consecutive</w:t>
      </w:r>
      <w:r w:rsidR="009E46DF">
        <w:rPr>
          <w:rFonts w:cs="Arial"/>
        </w:rPr>
        <w:t>ly</w:t>
      </w:r>
      <w:r w:rsidRPr="00536078">
        <w:rPr>
          <w:rFonts w:cs="Arial"/>
        </w:rPr>
        <w:t>) was an illegal</w:t>
      </w:r>
      <w:r>
        <w:rPr>
          <w:rFonts w:cs="Arial"/>
        </w:rPr>
        <w:t xml:space="preserve"> </w:t>
      </w:r>
      <w:r w:rsidRPr="00536078">
        <w:rPr>
          <w:rFonts w:cs="Arial"/>
        </w:rPr>
        <w:t>sentence and was grossly disproportiona</w:t>
      </w:r>
      <w:r w:rsidR="000D1858">
        <w:rPr>
          <w:rFonts w:cs="Arial"/>
        </w:rPr>
        <w:t>te</w:t>
      </w:r>
      <w:r w:rsidRPr="00536078">
        <w:rPr>
          <w:rFonts w:cs="Arial"/>
        </w:rPr>
        <w:t xml:space="preserve"> to the offense.</w:t>
      </w:r>
      <w:r w:rsidR="00177E92">
        <w:rPr>
          <w:rFonts w:cs="Arial"/>
        </w:rPr>
        <w:t xml:space="preserve">  He contends that his trial counsel was ineffective for failing to make this challenge at the time of sentencing or on direct appeal.</w:t>
      </w:r>
    </w:p>
    <w:p w14:paraId="6EF6F0B2" w14:textId="5BAEF195" w:rsidR="000A6DC5" w:rsidRDefault="00177E92" w:rsidP="000A6DC5">
      <w:pPr>
        <w:shd w:val="clear" w:color="auto" w:fill="FFFFFF"/>
        <w:spacing w:line="480" w:lineRule="auto"/>
        <w:rPr>
          <w:rFonts w:cs="Arial"/>
          <w:color w:val="000000"/>
        </w:rPr>
      </w:pPr>
      <w:r>
        <w:rPr>
          <w:rFonts w:cs="Arial"/>
          <w:color w:val="000000"/>
        </w:rPr>
        <w:tab/>
        <w:t>As to Wilson’s first contention, that his sentence of seventeen years is unconstitutional since he is being punished multiple times for one act</w:t>
      </w:r>
      <w:r w:rsidR="00FC520E">
        <w:rPr>
          <w:rFonts w:cs="Arial"/>
          <w:color w:val="000000"/>
        </w:rPr>
        <w:t>—</w:t>
      </w:r>
      <w:r>
        <w:rPr>
          <w:rFonts w:cs="Arial"/>
          <w:color w:val="000000"/>
        </w:rPr>
        <w:t>this argument is not supported by our case law.</w:t>
      </w:r>
      <w:r w:rsidR="00B81E6A">
        <w:rPr>
          <w:rFonts w:cs="Arial"/>
          <w:color w:val="000000"/>
        </w:rPr>
        <w:t xml:space="preserve"> </w:t>
      </w:r>
    </w:p>
    <w:p w14:paraId="19AAECB7" w14:textId="641E3138" w:rsidR="00B81E6A" w:rsidRPr="0006603D" w:rsidRDefault="00B81E6A" w:rsidP="0006603D">
      <w:pPr>
        <w:pStyle w:val="BlockQuote"/>
      </w:pPr>
      <w:r w:rsidRPr="0006603D">
        <w:t xml:space="preserve">It is generally recognized that if accused </w:t>
      </w:r>
      <w:r w:rsidR="00FC520E" w:rsidRPr="0006603D">
        <w:t xml:space="preserve">. . . </w:t>
      </w:r>
      <w:r w:rsidRPr="0006603D">
        <w:t xml:space="preserve">is convicted on several counts of an indictment, and each count is for a Separate and distinct offense, a separate sentence may be pronounced on each count, and the court may pronounce separate and distinct sentences which are cumulative, and are to run consecutively. </w:t>
      </w:r>
      <w:r w:rsidR="00FC520E" w:rsidRPr="0006603D">
        <w:t xml:space="preserve"> </w:t>
      </w:r>
      <w:r w:rsidRPr="0006603D">
        <w:t>This is true, even though the several offenses were committed in the course of a single transaction</w:t>
      </w:r>
      <w:r w:rsidR="00FC520E" w:rsidRPr="0006603D">
        <w:t>.</w:t>
      </w:r>
      <w:r w:rsidRPr="0006603D">
        <w:t xml:space="preserve"> </w:t>
      </w:r>
      <w:r w:rsidR="002A0B71">
        <w:t>. . .</w:t>
      </w:r>
    </w:p>
    <w:p w14:paraId="78CACE7A" w14:textId="77777777" w:rsidR="000A6DC5" w:rsidRPr="00B81E6A" w:rsidRDefault="000A6DC5" w:rsidP="0006603D">
      <w:pPr>
        <w:pStyle w:val="BlockQuote"/>
      </w:pPr>
    </w:p>
    <w:p w14:paraId="4D47E76B" w14:textId="48C31776" w:rsidR="00B81E6A" w:rsidRPr="00317D47" w:rsidRDefault="00B81E6A" w:rsidP="000A6DC5">
      <w:pPr>
        <w:shd w:val="clear" w:color="auto" w:fill="FFFFFF"/>
        <w:tabs>
          <w:tab w:val="clear" w:pos="720"/>
        </w:tabs>
        <w:spacing w:line="480" w:lineRule="auto"/>
        <w:rPr>
          <w:rFonts w:cs="Arial"/>
        </w:rPr>
      </w:pPr>
      <w:r w:rsidRPr="00317D47">
        <w:rPr>
          <w:rFonts w:cs="Arial"/>
          <w:i/>
        </w:rPr>
        <w:t>State v. Criswell</w:t>
      </w:r>
      <w:r w:rsidRPr="00317D47">
        <w:rPr>
          <w:rFonts w:cs="Arial"/>
        </w:rPr>
        <w:t>, 242 N.W.2d 259, 260 (Iowa 1976)</w:t>
      </w:r>
      <w:r w:rsidR="00FC520E" w:rsidRPr="00317D47">
        <w:rPr>
          <w:rFonts w:cs="Arial"/>
        </w:rPr>
        <w:t xml:space="preserve"> </w:t>
      </w:r>
      <w:r w:rsidR="00317D47" w:rsidRPr="00317D47">
        <w:rPr>
          <w:rFonts w:cs="Arial"/>
        </w:rPr>
        <w:t>(alteration</w:t>
      </w:r>
      <w:r w:rsidR="009E46DF" w:rsidRPr="00317D47">
        <w:rPr>
          <w:rFonts w:cs="Arial"/>
        </w:rPr>
        <w:t xml:space="preserve"> in original) </w:t>
      </w:r>
      <w:r w:rsidR="00FC520E" w:rsidRPr="00317D47">
        <w:rPr>
          <w:rFonts w:cs="Arial"/>
        </w:rPr>
        <w:t>(citation omitted)</w:t>
      </w:r>
      <w:r w:rsidR="000A6DC5" w:rsidRPr="00317D47">
        <w:rPr>
          <w:rFonts w:cs="Arial"/>
        </w:rPr>
        <w:t xml:space="preserve">.  In </w:t>
      </w:r>
      <w:r w:rsidR="000A6DC5" w:rsidRPr="00317D47">
        <w:rPr>
          <w:rFonts w:cs="Arial"/>
          <w:i/>
          <w:iCs/>
        </w:rPr>
        <w:t>State v. Taylor</w:t>
      </w:r>
      <w:r w:rsidR="000A6DC5" w:rsidRPr="00317D47">
        <w:rPr>
          <w:rFonts w:cs="Arial"/>
          <w:iCs/>
        </w:rPr>
        <w:t>,</w:t>
      </w:r>
      <w:r w:rsidR="000A6DC5" w:rsidRPr="00317D47">
        <w:rPr>
          <w:rFonts w:cs="Arial"/>
        </w:rPr>
        <w:t xml:space="preserve"> 596 N.W.2d 55, 57 (Iowa 1999), the court reaffirmed the rationale of </w:t>
      </w:r>
      <w:r w:rsidR="000A6DC5" w:rsidRPr="00317D47">
        <w:rPr>
          <w:rFonts w:cs="Arial"/>
          <w:bCs/>
          <w:i/>
          <w:iCs/>
        </w:rPr>
        <w:t>Criswell</w:t>
      </w:r>
      <w:r w:rsidR="000A6DC5" w:rsidRPr="00317D47">
        <w:rPr>
          <w:rFonts w:cs="Arial"/>
        </w:rPr>
        <w:t xml:space="preserve"> and explained that the decision to impose consecutive sentences is discretionary. </w:t>
      </w:r>
      <w:r w:rsidR="00FC520E" w:rsidRPr="00317D47">
        <w:rPr>
          <w:rFonts w:cs="Arial"/>
        </w:rPr>
        <w:t xml:space="preserve"> </w:t>
      </w:r>
      <w:r w:rsidR="000A6DC5" w:rsidRPr="00317D47">
        <w:rPr>
          <w:rFonts w:cs="Arial"/>
        </w:rPr>
        <w:t xml:space="preserve">Since Wilson’s contention is not supported by law, his claim that </w:t>
      </w:r>
      <w:r w:rsidR="00416A7B" w:rsidRPr="00317D47">
        <w:rPr>
          <w:rFonts w:cs="Arial"/>
        </w:rPr>
        <w:t>h</w:t>
      </w:r>
      <w:r w:rsidR="000A6DC5" w:rsidRPr="00317D47">
        <w:rPr>
          <w:rFonts w:cs="Arial"/>
        </w:rPr>
        <w:t>is trial counsel was ineffective for not making this argument likewise fails.</w:t>
      </w:r>
    </w:p>
    <w:p w14:paraId="0FF2C548" w14:textId="76D9C7E1" w:rsidR="00177E92" w:rsidRPr="00FC520E" w:rsidRDefault="000A6DC5" w:rsidP="00537F92">
      <w:pPr>
        <w:shd w:val="clear" w:color="auto" w:fill="FFFFFF"/>
        <w:spacing w:line="480" w:lineRule="auto"/>
        <w:rPr>
          <w:rFonts w:cs="Arial"/>
          <w:color w:val="000000"/>
        </w:rPr>
      </w:pPr>
      <w:r>
        <w:rPr>
          <w:rFonts w:cs="Arial"/>
          <w:color w:val="000000"/>
        </w:rPr>
        <w:lastRenderedPageBreak/>
        <w:tab/>
      </w:r>
      <w:r w:rsidR="00FF0391">
        <w:rPr>
          <w:rFonts w:cs="Arial"/>
          <w:color w:val="000000"/>
        </w:rPr>
        <w:t xml:space="preserve">As to Wilson’s second </w:t>
      </w:r>
      <w:r w:rsidR="004906A6">
        <w:rPr>
          <w:rFonts w:cs="Arial"/>
          <w:color w:val="000000"/>
        </w:rPr>
        <w:t>argument</w:t>
      </w:r>
      <w:r w:rsidR="00FF0391">
        <w:rPr>
          <w:rFonts w:cs="Arial"/>
          <w:color w:val="000000"/>
        </w:rPr>
        <w:t>, a</w:t>
      </w:r>
      <w:r w:rsidR="00537F92" w:rsidRPr="00537F92">
        <w:rPr>
          <w:rFonts w:cs="Arial"/>
          <w:color w:val="000000"/>
        </w:rPr>
        <w:t xml:space="preserve"> defendant must challenge his sentence under </w:t>
      </w:r>
      <w:r w:rsidR="00537F92">
        <w:rPr>
          <w:rFonts w:cs="Arial"/>
          <w:color w:val="000000"/>
        </w:rPr>
        <w:t xml:space="preserve">either </w:t>
      </w:r>
      <w:r w:rsidR="00537F92" w:rsidRPr="00537F92">
        <w:rPr>
          <w:rFonts w:cs="Arial"/>
          <w:color w:val="000000"/>
        </w:rPr>
        <w:t>the “categorical” approach or make a “gross proportionality challenge to [the] particular defendant</w:t>
      </w:r>
      <w:r w:rsidR="00FC520E">
        <w:rPr>
          <w:rFonts w:cs="Arial"/>
          <w:color w:val="000000"/>
        </w:rPr>
        <w:t>’</w:t>
      </w:r>
      <w:r w:rsidR="00537F92" w:rsidRPr="00537F92">
        <w:rPr>
          <w:rFonts w:cs="Arial"/>
          <w:color w:val="000000"/>
        </w:rPr>
        <w:t xml:space="preserve">s sentence.” </w:t>
      </w:r>
      <w:r w:rsidR="00FC520E">
        <w:rPr>
          <w:rFonts w:cs="Arial"/>
          <w:color w:val="000000"/>
        </w:rPr>
        <w:t xml:space="preserve"> </w:t>
      </w:r>
      <w:r w:rsidR="00537F92" w:rsidRPr="00537F92">
        <w:rPr>
          <w:rFonts w:cs="Arial"/>
          <w:i/>
          <w:iCs/>
          <w:color w:val="000000"/>
        </w:rPr>
        <w:t>See Graham</w:t>
      </w:r>
      <w:r w:rsidR="00FC520E">
        <w:rPr>
          <w:rFonts w:cs="Arial"/>
          <w:i/>
          <w:iCs/>
          <w:color w:val="000000"/>
        </w:rPr>
        <w:t xml:space="preserve"> v. Florida</w:t>
      </w:r>
      <w:r w:rsidR="00FC520E">
        <w:rPr>
          <w:rFonts w:cs="Arial"/>
          <w:iCs/>
          <w:color w:val="000000"/>
        </w:rPr>
        <w:t>,</w:t>
      </w:r>
      <w:r w:rsidR="00537F92" w:rsidRPr="00537F92">
        <w:rPr>
          <w:rFonts w:cs="Arial"/>
          <w:color w:val="000000"/>
        </w:rPr>
        <w:t xml:space="preserve"> </w:t>
      </w:r>
      <w:r w:rsidR="00125B21">
        <w:rPr>
          <w:rFonts w:cs="Arial"/>
          <w:color w:val="000000"/>
        </w:rPr>
        <w:t>5</w:t>
      </w:r>
      <w:r w:rsidR="00FC520E">
        <w:rPr>
          <w:rFonts w:cs="Arial"/>
          <w:color w:val="000000"/>
        </w:rPr>
        <w:t>6</w:t>
      </w:r>
      <w:r w:rsidR="00125B21">
        <w:rPr>
          <w:rFonts w:cs="Arial"/>
          <w:color w:val="000000"/>
        </w:rPr>
        <w:t>0</w:t>
      </w:r>
      <w:r w:rsidR="00537F92" w:rsidRPr="00537F92">
        <w:rPr>
          <w:rFonts w:cs="Arial"/>
          <w:color w:val="000000"/>
        </w:rPr>
        <w:t xml:space="preserve"> U.S. </w:t>
      </w:r>
      <w:r w:rsidR="00125B21">
        <w:rPr>
          <w:rFonts w:cs="Arial"/>
          <w:color w:val="000000"/>
        </w:rPr>
        <w:t>48, 59 (2010)</w:t>
      </w:r>
      <w:r w:rsidR="00FC520E">
        <w:rPr>
          <w:rFonts w:cs="Arial"/>
          <w:color w:val="000000"/>
        </w:rPr>
        <w:t xml:space="preserve">; </w:t>
      </w:r>
      <w:r w:rsidR="00CD517A">
        <w:rPr>
          <w:rFonts w:cs="Arial"/>
          <w:i/>
          <w:color w:val="000000"/>
        </w:rPr>
        <w:t xml:space="preserve">accord </w:t>
      </w:r>
      <w:r w:rsidR="00537F92" w:rsidRPr="00537F92">
        <w:rPr>
          <w:rFonts w:cs="Arial"/>
          <w:i/>
          <w:color w:val="000000"/>
        </w:rPr>
        <w:t>State v. Oliver</w:t>
      </w:r>
      <w:r w:rsidR="00537F92" w:rsidRPr="00537F92">
        <w:rPr>
          <w:rFonts w:cs="Arial"/>
          <w:color w:val="000000"/>
        </w:rPr>
        <w:t>, 812 N.W.2d 636, 640 (Iowa 2012)</w:t>
      </w:r>
      <w:r w:rsidR="00537F92">
        <w:rPr>
          <w:rFonts w:cs="Arial"/>
          <w:color w:val="000000"/>
        </w:rPr>
        <w:t xml:space="preserve">.  </w:t>
      </w:r>
      <w:r w:rsidR="00537F92" w:rsidRPr="00FC520E">
        <w:rPr>
          <w:rFonts w:cs="Arial"/>
          <w:color w:val="000000"/>
        </w:rPr>
        <w:t>Here, Wilson only makes a gross proportionality challenge</w:t>
      </w:r>
      <w:r w:rsidR="000D1858">
        <w:rPr>
          <w:rFonts w:cs="Arial"/>
          <w:color w:val="000000"/>
        </w:rPr>
        <w:t>,</w:t>
      </w:r>
      <w:r w:rsidR="00416A7B">
        <w:rPr>
          <w:rFonts w:cs="Arial"/>
          <w:color w:val="000000"/>
        </w:rPr>
        <w:t xml:space="preserve"> and </w:t>
      </w:r>
      <w:r w:rsidRPr="00FC520E">
        <w:rPr>
          <w:rFonts w:cs="Arial"/>
          <w:color w:val="000000"/>
        </w:rPr>
        <w:t>we recognize:</w:t>
      </w:r>
    </w:p>
    <w:p w14:paraId="4B66D241" w14:textId="01582D8E" w:rsidR="00177E92" w:rsidRPr="00831ED8" w:rsidRDefault="00177E92" w:rsidP="0006603D">
      <w:pPr>
        <w:pStyle w:val="BlockQuote"/>
      </w:pPr>
      <w:r w:rsidRPr="00960463">
        <w:t>The Eighth Amendment to the United States Constitution and article I, section 17 of the Iowa Constitution prohibit cruel and unusual punishment. Punishment may be cruel and unusual because it inflicts torture, is ot</w:t>
      </w:r>
      <w:r w:rsidRPr="00DF28A6">
        <w:t xml:space="preserve">herwise barbaric, or is so excessively severe it is disproportionate to the offense charged. </w:t>
      </w:r>
      <w:r w:rsidR="00FC520E" w:rsidRPr="00DF28A6">
        <w:t xml:space="preserve"> </w:t>
      </w:r>
      <w:r w:rsidRPr="00DF28A6">
        <w:t xml:space="preserve">Generally, a sentence that falls within the parameters of a statutorily prescribed penalty does not constitute cruel and unusual punishment. </w:t>
      </w:r>
      <w:r w:rsidR="00FC520E" w:rsidRPr="00DF28A6">
        <w:t xml:space="preserve"> </w:t>
      </w:r>
      <w:r w:rsidRPr="00DF28A6">
        <w:t>Only extreme sentences that ar</w:t>
      </w:r>
      <w:r w:rsidRPr="00831ED8">
        <w:t xml:space="preserve">e “grossly disproportionate” to the crime conceivably violate the Eighth Amendment. </w:t>
      </w:r>
    </w:p>
    <w:p w14:paraId="429CF815" w14:textId="77777777" w:rsidR="00177E92" w:rsidRPr="00FC520E" w:rsidRDefault="00177E92" w:rsidP="0006603D">
      <w:pPr>
        <w:pStyle w:val="BlockQuote"/>
      </w:pPr>
    </w:p>
    <w:p w14:paraId="1AE609C2" w14:textId="2ED8430E" w:rsidR="00177E92" w:rsidRPr="00FC520E" w:rsidRDefault="00177E92" w:rsidP="00DC668E">
      <w:pPr>
        <w:shd w:val="clear" w:color="auto" w:fill="FFFFFF"/>
        <w:tabs>
          <w:tab w:val="clear" w:pos="720"/>
          <w:tab w:val="left" w:pos="6360"/>
        </w:tabs>
        <w:jc w:val="left"/>
        <w:rPr>
          <w:rFonts w:cs="Arial"/>
          <w:color w:val="000000"/>
        </w:rPr>
      </w:pPr>
      <w:r w:rsidRPr="00FC520E">
        <w:rPr>
          <w:rFonts w:cs="Arial"/>
          <w:i/>
          <w:color w:val="000000"/>
        </w:rPr>
        <w:t>State v. Cronkhite</w:t>
      </w:r>
      <w:r w:rsidRPr="00FC520E">
        <w:rPr>
          <w:rFonts w:cs="Arial"/>
          <w:color w:val="000000"/>
        </w:rPr>
        <w:t>, 613 N.W.2d 664, 669 (Iowa 2000)</w:t>
      </w:r>
      <w:r w:rsidR="00FC520E">
        <w:rPr>
          <w:rFonts w:cs="Arial"/>
          <w:color w:val="000000"/>
        </w:rPr>
        <w:t xml:space="preserve"> (citations omitted).</w:t>
      </w:r>
    </w:p>
    <w:p w14:paraId="1F479D61" w14:textId="77777777" w:rsidR="0082664F" w:rsidRDefault="0082664F" w:rsidP="00177E92">
      <w:pPr>
        <w:shd w:val="clear" w:color="auto" w:fill="FFFFFF"/>
        <w:tabs>
          <w:tab w:val="clear" w:pos="720"/>
        </w:tabs>
        <w:jc w:val="left"/>
        <w:rPr>
          <w:rFonts w:cs="Arial"/>
          <w:color w:val="000000"/>
        </w:rPr>
      </w:pPr>
    </w:p>
    <w:p w14:paraId="114A0E69" w14:textId="61AF8C35" w:rsidR="0082664F" w:rsidRDefault="0082664F" w:rsidP="0082664F">
      <w:pPr>
        <w:tabs>
          <w:tab w:val="clear" w:pos="720"/>
        </w:tabs>
        <w:autoSpaceDE w:val="0"/>
        <w:autoSpaceDN w:val="0"/>
        <w:adjustRightInd w:val="0"/>
        <w:spacing w:line="480" w:lineRule="auto"/>
        <w:ind w:firstLine="720"/>
        <w:rPr>
          <w:rFonts w:cs="Arial"/>
        </w:rPr>
      </w:pPr>
      <w:r w:rsidRPr="00B81E6A">
        <w:rPr>
          <w:rFonts w:cs="Arial"/>
        </w:rPr>
        <w:t xml:space="preserve">The Iowa and </w:t>
      </w:r>
      <w:r>
        <w:rPr>
          <w:rFonts w:cs="Arial"/>
        </w:rPr>
        <w:t>fe</w:t>
      </w:r>
      <w:r w:rsidRPr="00B81E6A">
        <w:rPr>
          <w:rFonts w:cs="Arial"/>
        </w:rPr>
        <w:t xml:space="preserve">deral </w:t>
      </w:r>
      <w:r>
        <w:rPr>
          <w:rFonts w:cs="Arial"/>
        </w:rPr>
        <w:t>c</w:t>
      </w:r>
      <w:r w:rsidRPr="00B81E6A">
        <w:rPr>
          <w:rFonts w:cs="Arial"/>
        </w:rPr>
        <w:t>ourts have adopted a three-step</w:t>
      </w:r>
      <w:r>
        <w:rPr>
          <w:rFonts w:cs="Arial"/>
        </w:rPr>
        <w:t xml:space="preserve"> </w:t>
      </w:r>
      <w:r w:rsidRPr="00B81E6A">
        <w:rPr>
          <w:rFonts w:cs="Arial"/>
        </w:rPr>
        <w:t xml:space="preserve">analysis in which the </w:t>
      </w:r>
      <w:r w:rsidR="00FC520E">
        <w:rPr>
          <w:rFonts w:cs="Arial"/>
        </w:rPr>
        <w:t>c</w:t>
      </w:r>
      <w:r w:rsidRPr="00B81E6A">
        <w:rPr>
          <w:rFonts w:cs="Arial"/>
        </w:rPr>
        <w:t>ourt views whether or not the sentence</w:t>
      </w:r>
      <w:r>
        <w:rPr>
          <w:rFonts w:cs="Arial"/>
        </w:rPr>
        <w:t xml:space="preserve"> </w:t>
      </w:r>
      <w:r w:rsidRPr="00B81E6A">
        <w:rPr>
          <w:rFonts w:cs="Arial"/>
        </w:rPr>
        <w:t xml:space="preserve">has an inference of gross disproportionality </w:t>
      </w:r>
      <w:r>
        <w:rPr>
          <w:rFonts w:cs="Arial"/>
        </w:rPr>
        <w:t>by</w:t>
      </w:r>
      <w:r w:rsidRPr="00B81E6A">
        <w:rPr>
          <w:rFonts w:cs="Arial"/>
        </w:rPr>
        <w:t xml:space="preserve"> comparing the</w:t>
      </w:r>
      <w:r>
        <w:rPr>
          <w:rFonts w:cs="Arial"/>
        </w:rPr>
        <w:t xml:space="preserve"> </w:t>
      </w:r>
      <w:r w:rsidRPr="00B81E6A">
        <w:rPr>
          <w:rFonts w:cs="Arial"/>
        </w:rPr>
        <w:t>sentence given with other sentences or dissimilar criminal acts.</w:t>
      </w:r>
      <w:r>
        <w:rPr>
          <w:rFonts w:cs="Arial"/>
        </w:rPr>
        <w:t xml:space="preserve"> </w:t>
      </w:r>
      <w:r w:rsidR="00FC520E">
        <w:rPr>
          <w:rFonts w:cs="Arial"/>
        </w:rPr>
        <w:t xml:space="preserve"> </w:t>
      </w:r>
      <w:r w:rsidRPr="00DC668E">
        <w:rPr>
          <w:rFonts w:cs="Arial"/>
          <w:i/>
        </w:rPr>
        <w:t>See</w:t>
      </w:r>
      <w:r w:rsidRPr="00B81E6A">
        <w:rPr>
          <w:rFonts w:cs="Arial"/>
        </w:rPr>
        <w:t xml:space="preserve"> </w:t>
      </w:r>
      <w:r w:rsidRPr="00B81E6A">
        <w:rPr>
          <w:rFonts w:cs="Arial"/>
          <w:i/>
        </w:rPr>
        <w:t>Oliver</w:t>
      </w:r>
      <w:r w:rsidRPr="00B81E6A">
        <w:rPr>
          <w:rFonts w:cs="Arial"/>
        </w:rPr>
        <w:t xml:space="preserve">, 812 N.W.2d </w:t>
      </w:r>
      <w:r w:rsidR="00FC520E">
        <w:rPr>
          <w:rFonts w:cs="Arial"/>
        </w:rPr>
        <w:t>at</w:t>
      </w:r>
      <w:r w:rsidRPr="00B81E6A">
        <w:rPr>
          <w:rFonts w:cs="Arial"/>
        </w:rPr>
        <w:t xml:space="preserve"> 647</w:t>
      </w:r>
      <w:r w:rsidR="00FC520E">
        <w:rPr>
          <w:rFonts w:cs="Arial"/>
        </w:rPr>
        <w:t xml:space="preserve"> </w:t>
      </w:r>
      <w:r w:rsidRPr="00B81E6A">
        <w:rPr>
          <w:rFonts w:cs="Arial"/>
        </w:rPr>
        <w:t>(</w:t>
      </w:r>
      <w:r w:rsidR="00FC520E" w:rsidRPr="0006603D">
        <w:rPr>
          <w:rFonts w:cs="Arial"/>
          <w:color w:val="212121"/>
        </w:rPr>
        <w:t>employing the</w:t>
      </w:r>
      <w:r w:rsidR="00DC668E">
        <w:rPr>
          <w:rFonts w:cs="Arial"/>
          <w:color w:val="212121"/>
        </w:rPr>
        <w:t xml:space="preserve"> </w:t>
      </w:r>
      <w:r w:rsidR="00537F92" w:rsidRPr="00537F92">
        <w:rPr>
          <w:rFonts w:cs="Arial"/>
        </w:rPr>
        <w:t xml:space="preserve">three-step analysis first articulated in </w:t>
      </w:r>
      <w:r w:rsidR="00537F92" w:rsidRPr="00537F92">
        <w:rPr>
          <w:rFonts w:cs="Arial"/>
          <w:i/>
          <w:iCs/>
        </w:rPr>
        <w:t>Solem v. Helm</w:t>
      </w:r>
      <w:r w:rsidR="00537F92" w:rsidRPr="00442D0E">
        <w:rPr>
          <w:rFonts w:cs="Arial"/>
          <w:iCs/>
        </w:rPr>
        <w:t>,</w:t>
      </w:r>
      <w:r w:rsidR="00537F92" w:rsidRPr="00537F92">
        <w:rPr>
          <w:rFonts w:cs="Arial"/>
        </w:rPr>
        <w:t xml:space="preserve"> 463 U.S. 277 (1983)</w:t>
      </w:r>
      <w:r w:rsidR="00FC520E">
        <w:rPr>
          <w:rFonts w:cs="Arial"/>
        </w:rPr>
        <w:t>)</w:t>
      </w:r>
      <w:r w:rsidR="00537F92">
        <w:rPr>
          <w:rFonts w:cs="Arial"/>
        </w:rPr>
        <w:t>;</w:t>
      </w:r>
      <w:r w:rsidR="00537F92" w:rsidRPr="00537F92">
        <w:rPr>
          <w:rFonts w:cs="Arial"/>
        </w:rPr>
        <w:t xml:space="preserve"> </w:t>
      </w:r>
      <w:r w:rsidR="00537F92">
        <w:rPr>
          <w:rFonts w:cs="Arial"/>
          <w:i/>
          <w:iCs/>
        </w:rPr>
        <w:t>s</w:t>
      </w:r>
      <w:r w:rsidR="00537F92" w:rsidRPr="00537F92">
        <w:rPr>
          <w:rFonts w:cs="Arial"/>
          <w:i/>
          <w:iCs/>
        </w:rPr>
        <w:t>ee</w:t>
      </w:r>
      <w:r w:rsidR="00FC520E">
        <w:rPr>
          <w:rFonts w:cs="Arial"/>
          <w:i/>
          <w:iCs/>
        </w:rPr>
        <w:t xml:space="preserve"> also</w:t>
      </w:r>
      <w:r w:rsidR="00537F92" w:rsidRPr="00537F92">
        <w:rPr>
          <w:rFonts w:cs="Arial"/>
          <w:i/>
          <w:iCs/>
        </w:rPr>
        <w:t xml:space="preserve"> </w:t>
      </w:r>
      <w:r w:rsidR="00FC520E">
        <w:rPr>
          <w:rFonts w:cs="Arial"/>
          <w:i/>
          <w:iCs/>
        </w:rPr>
        <w:t xml:space="preserve">State v. </w:t>
      </w:r>
      <w:r w:rsidR="00537F92" w:rsidRPr="00537F92">
        <w:rPr>
          <w:rFonts w:cs="Arial"/>
          <w:i/>
          <w:iCs/>
        </w:rPr>
        <w:t>Bruegger</w:t>
      </w:r>
      <w:r w:rsidR="00537F92" w:rsidRPr="00442D0E">
        <w:rPr>
          <w:rFonts w:cs="Arial"/>
          <w:iCs/>
        </w:rPr>
        <w:t>,</w:t>
      </w:r>
      <w:r w:rsidR="00537F92" w:rsidRPr="00537F92">
        <w:rPr>
          <w:rFonts w:cs="Arial"/>
        </w:rPr>
        <w:t xml:space="preserve"> 773 N.W.2d </w:t>
      </w:r>
      <w:r w:rsidR="00FC520E">
        <w:rPr>
          <w:rFonts w:cs="Arial"/>
        </w:rPr>
        <w:t>862,</w:t>
      </w:r>
      <w:r w:rsidR="00DC668E">
        <w:rPr>
          <w:rFonts w:cs="Arial"/>
        </w:rPr>
        <w:t xml:space="preserve"> </w:t>
      </w:r>
      <w:r w:rsidR="00537F92" w:rsidRPr="00537F92">
        <w:rPr>
          <w:rFonts w:cs="Arial"/>
        </w:rPr>
        <w:t>873</w:t>
      </w:r>
      <w:r w:rsidR="00FC520E">
        <w:rPr>
          <w:rFonts w:cs="Arial"/>
        </w:rPr>
        <w:t xml:space="preserve"> (Iowa 2009)</w:t>
      </w:r>
      <w:r w:rsidR="00537F92">
        <w:rPr>
          <w:rFonts w:cs="Arial"/>
        </w:rPr>
        <w:t>)</w:t>
      </w:r>
      <w:r w:rsidR="00537F92" w:rsidRPr="00537F92">
        <w:rPr>
          <w:rFonts w:cs="Arial"/>
        </w:rPr>
        <w:t>.</w:t>
      </w:r>
      <w:r w:rsidR="00537F92">
        <w:rPr>
          <w:rFonts w:cs="Arial"/>
        </w:rPr>
        <w:t xml:space="preserve"> </w:t>
      </w:r>
      <w:r>
        <w:rPr>
          <w:rFonts w:cs="Arial"/>
        </w:rPr>
        <w:t xml:space="preserve"> </w:t>
      </w:r>
    </w:p>
    <w:p w14:paraId="030F5961" w14:textId="05CAD632" w:rsidR="00AE50D3" w:rsidRPr="00DF28A6" w:rsidRDefault="00AE50D3" w:rsidP="0006603D">
      <w:pPr>
        <w:pStyle w:val="BlockQuote"/>
        <w:rPr>
          <w:i/>
          <w:iCs/>
        </w:rPr>
      </w:pPr>
      <w:r w:rsidRPr="00FC520E">
        <w:t>The first step in this analysis, sometimes referred to as the threshold test, requires a reviewing court to determine whether a defendant</w:t>
      </w:r>
      <w:r w:rsidR="00FC520E">
        <w:t>’</w:t>
      </w:r>
      <w:r w:rsidRPr="00FC520E">
        <w:t>s sentence leads to an inference of gross disproportionality.</w:t>
      </w:r>
      <w:r w:rsidR="00FC520E">
        <w:rPr>
          <w:i/>
          <w:iCs/>
        </w:rPr>
        <w:t xml:space="preserve"> </w:t>
      </w:r>
      <w:r w:rsidRPr="00FC520E">
        <w:t xml:space="preserve"> “This preliminary test involves a balancing of the gravity of the crime against the severity of the sentence.” </w:t>
      </w:r>
      <w:r w:rsidR="00FC520E">
        <w:t xml:space="preserve"> </w:t>
      </w:r>
      <w:r w:rsidRPr="00FC520E">
        <w:t>If, and only if, the threshold test is satisfied, a court then proceeds to steps two and three of the analysis.</w:t>
      </w:r>
      <w:r w:rsidR="00FC520E">
        <w:rPr>
          <w:i/>
          <w:iCs/>
        </w:rPr>
        <w:t xml:space="preserve"> </w:t>
      </w:r>
      <w:r w:rsidRPr="00FC520E">
        <w:t xml:space="preserve"> These steps require the court to engage in an intrajurisdictional analysis “comparing the challenged sentence to sentences for other crimes within the jurisdiction.”  Next, the court engages in an interjurisdictional analysis, “comparing sentences in othe</w:t>
      </w:r>
      <w:r w:rsidRPr="00DF28A6">
        <w:t xml:space="preserve">r jurisdictions for the same or similar crimes.” </w:t>
      </w:r>
    </w:p>
    <w:p w14:paraId="212731A0" w14:textId="77777777" w:rsidR="00AE50D3" w:rsidRPr="00AE50D3" w:rsidRDefault="00AE50D3" w:rsidP="0006603D">
      <w:pPr>
        <w:pStyle w:val="BlockQuote"/>
      </w:pPr>
    </w:p>
    <w:p w14:paraId="0BD0EC9D" w14:textId="3BA51FAF" w:rsidR="00906C21" w:rsidRDefault="00AE50D3" w:rsidP="00906C21">
      <w:pPr>
        <w:shd w:val="clear" w:color="auto" w:fill="FFFFFF"/>
        <w:tabs>
          <w:tab w:val="clear" w:pos="720"/>
        </w:tabs>
        <w:spacing w:line="480" w:lineRule="auto"/>
        <w:rPr>
          <w:rFonts w:cs="Arial"/>
          <w:color w:val="000000"/>
        </w:rPr>
      </w:pPr>
      <w:r w:rsidRPr="00AE50D3">
        <w:rPr>
          <w:rFonts w:cs="Arial"/>
          <w:i/>
          <w:color w:val="000000"/>
        </w:rPr>
        <w:lastRenderedPageBreak/>
        <w:t>Oliver</w:t>
      </w:r>
      <w:r w:rsidRPr="00AE50D3">
        <w:rPr>
          <w:rFonts w:cs="Arial"/>
          <w:color w:val="000000"/>
        </w:rPr>
        <w:t xml:space="preserve">, 812 N.W.2d </w:t>
      </w:r>
      <w:r w:rsidR="00476720">
        <w:rPr>
          <w:rFonts w:cs="Arial"/>
          <w:color w:val="000000"/>
        </w:rPr>
        <w:t>at</w:t>
      </w:r>
      <w:r w:rsidRPr="00AE50D3">
        <w:rPr>
          <w:rFonts w:cs="Arial"/>
          <w:color w:val="000000"/>
        </w:rPr>
        <w:t xml:space="preserve"> 647 (Iowa 2012)</w:t>
      </w:r>
      <w:r>
        <w:rPr>
          <w:rFonts w:cs="Arial"/>
          <w:color w:val="000000"/>
        </w:rPr>
        <w:t xml:space="preserve">.  </w:t>
      </w:r>
      <w:r w:rsidR="00906C21" w:rsidRPr="00906C21">
        <w:rPr>
          <w:rFonts w:cs="Arial"/>
          <w:color w:val="000000"/>
        </w:rPr>
        <w:t xml:space="preserve">If the sentence does not create an inference of gross disproportionality, then no further analysis is necessary. </w:t>
      </w:r>
      <w:r w:rsidR="00FC520E">
        <w:rPr>
          <w:rFonts w:cs="Arial"/>
          <w:color w:val="000000"/>
        </w:rPr>
        <w:t xml:space="preserve"> </w:t>
      </w:r>
      <w:r w:rsidR="00906C21" w:rsidRPr="00906C21">
        <w:rPr>
          <w:rFonts w:cs="Arial"/>
          <w:i/>
          <w:iCs/>
          <w:color w:val="000000"/>
        </w:rPr>
        <w:t>State v. Seering</w:t>
      </w:r>
      <w:r w:rsidR="00906C21" w:rsidRPr="00DC668E">
        <w:rPr>
          <w:rFonts w:cs="Arial"/>
          <w:iCs/>
          <w:color w:val="000000"/>
        </w:rPr>
        <w:t>,</w:t>
      </w:r>
      <w:r w:rsidR="00906C21" w:rsidRPr="00906C21">
        <w:rPr>
          <w:rFonts w:cs="Arial"/>
          <w:color w:val="000000"/>
        </w:rPr>
        <w:t xml:space="preserve"> 701 N.W.2d 655, 670 (Iowa 2005)</w:t>
      </w:r>
      <w:r w:rsidR="00960463">
        <w:rPr>
          <w:rFonts w:cs="Arial"/>
          <w:color w:val="000000"/>
        </w:rPr>
        <w:t xml:space="preserve">.  </w:t>
      </w:r>
      <w:r w:rsidR="00906C21" w:rsidRPr="00906C21">
        <w:rPr>
          <w:rFonts w:cs="Arial"/>
          <w:color w:val="000000"/>
        </w:rPr>
        <w:t xml:space="preserve">Our principal task at this stage is to “balanc[e] the gravity of the crime against the severity of the sentence.” </w:t>
      </w:r>
      <w:r w:rsidR="00960463">
        <w:rPr>
          <w:rFonts w:cs="Arial"/>
          <w:color w:val="000000"/>
        </w:rPr>
        <w:t xml:space="preserve"> </w:t>
      </w:r>
      <w:r w:rsidR="00906C21" w:rsidRPr="00906C21">
        <w:rPr>
          <w:rFonts w:cs="Arial"/>
          <w:i/>
          <w:color w:val="000000"/>
        </w:rPr>
        <w:t>Oliver</w:t>
      </w:r>
      <w:r w:rsidR="00906C21" w:rsidRPr="00906C21">
        <w:rPr>
          <w:rFonts w:cs="Arial"/>
          <w:color w:val="000000"/>
        </w:rPr>
        <w:t>, 812</w:t>
      </w:r>
      <w:r w:rsidR="00960463">
        <w:rPr>
          <w:rFonts w:cs="Arial"/>
          <w:color w:val="000000"/>
        </w:rPr>
        <w:t xml:space="preserve"> N.W.2d</w:t>
      </w:r>
      <w:r w:rsidR="00906C21" w:rsidRPr="00906C21">
        <w:rPr>
          <w:rFonts w:cs="Arial"/>
          <w:color w:val="000000"/>
        </w:rPr>
        <w:t xml:space="preserve"> </w:t>
      </w:r>
      <w:r w:rsidR="00906C21">
        <w:rPr>
          <w:rFonts w:cs="Arial"/>
          <w:color w:val="000000"/>
        </w:rPr>
        <w:t>at</w:t>
      </w:r>
      <w:r w:rsidR="00906C21" w:rsidRPr="00906C21">
        <w:rPr>
          <w:rFonts w:cs="Arial"/>
          <w:color w:val="000000"/>
        </w:rPr>
        <w:t xml:space="preserve"> 650</w:t>
      </w:r>
      <w:r w:rsidR="00960463">
        <w:rPr>
          <w:rFonts w:cs="Arial"/>
          <w:color w:val="000000"/>
        </w:rPr>
        <w:t>.</w:t>
      </w:r>
    </w:p>
    <w:p w14:paraId="36DAB70E" w14:textId="3C48802F" w:rsidR="00FF0391" w:rsidRPr="00960463" w:rsidRDefault="00960463" w:rsidP="00960463">
      <w:pPr>
        <w:shd w:val="clear" w:color="auto" w:fill="FFFFFF"/>
        <w:tabs>
          <w:tab w:val="clear" w:pos="720"/>
        </w:tabs>
        <w:spacing w:line="480" w:lineRule="auto"/>
      </w:pPr>
      <w:r>
        <w:rPr>
          <w:rFonts w:cs="Arial"/>
          <w:color w:val="000000"/>
        </w:rPr>
        <w:tab/>
        <w:t xml:space="preserve">In balancing the two, we keep some general principles in mind.  </w:t>
      </w:r>
      <w:r>
        <w:t>“</w:t>
      </w:r>
      <w:r w:rsidR="00906C21" w:rsidRPr="00906C21">
        <w:t>The first is that we owe substantial deference to the penalties the legislature has established for various crimes</w:t>
      </w:r>
      <w:r w:rsidR="00442D0E">
        <w:t>” because “‘</w:t>
      </w:r>
      <w:r w:rsidR="00906C21" w:rsidRPr="00906C21">
        <w:t>[c]riminal punishment can have different goals, and choosing among them is within a legislature</w:t>
      </w:r>
      <w:r>
        <w:t>’</w:t>
      </w:r>
      <w:r w:rsidR="00906C21" w:rsidRPr="00906C21">
        <w:t>s discretion.</w:t>
      </w:r>
      <w:r w:rsidR="00442D0E">
        <w:t>’</w:t>
      </w:r>
      <w:r w:rsidR="00906C21" w:rsidRPr="00906C21">
        <w:t>”</w:t>
      </w:r>
      <w:r>
        <w:t xml:space="preserve">  </w:t>
      </w:r>
      <w:r>
        <w:rPr>
          <w:i/>
        </w:rPr>
        <w:t xml:space="preserve">Id. </w:t>
      </w:r>
      <w:r w:rsidRPr="00DC668E">
        <w:t>(quoting</w:t>
      </w:r>
      <w:r w:rsidR="00906C21" w:rsidRPr="00906C21">
        <w:t xml:space="preserve"> </w:t>
      </w:r>
      <w:r w:rsidR="00DC668E">
        <w:rPr>
          <w:i/>
          <w:iCs/>
        </w:rPr>
        <w:t>Graham</w:t>
      </w:r>
      <w:r w:rsidR="00DC668E">
        <w:rPr>
          <w:iCs/>
        </w:rPr>
        <w:t>,</w:t>
      </w:r>
      <w:r w:rsidR="00906C21" w:rsidRPr="00906C21">
        <w:t xml:space="preserve"> </w:t>
      </w:r>
      <w:r w:rsidR="00125B21">
        <w:t xml:space="preserve">560 </w:t>
      </w:r>
      <w:r w:rsidR="00906C21" w:rsidRPr="00906C21">
        <w:t xml:space="preserve">U.S. at </w:t>
      </w:r>
      <w:r w:rsidR="00125B21">
        <w:t>48</w:t>
      </w:r>
      <w:r w:rsidR="00DC668E">
        <w:t xml:space="preserve">). </w:t>
      </w:r>
      <w:r>
        <w:t xml:space="preserve"> “L</w:t>
      </w:r>
      <w:r w:rsidR="00906C21" w:rsidRPr="00906C21">
        <w:t xml:space="preserve">egislative judgments are generally regarded as the most reliable objective indicators of community standards for purposes of determining whether a punishment is cruel and unusual.” </w:t>
      </w:r>
      <w:r>
        <w:t xml:space="preserve"> </w:t>
      </w:r>
      <w:r w:rsidR="00906C21" w:rsidRPr="00906C21">
        <w:rPr>
          <w:i/>
          <w:iCs/>
        </w:rPr>
        <w:t>Bruegger</w:t>
      </w:r>
      <w:r w:rsidR="00906C21" w:rsidRPr="00442D0E">
        <w:rPr>
          <w:iCs/>
        </w:rPr>
        <w:t>,</w:t>
      </w:r>
      <w:r w:rsidR="00906C21" w:rsidRPr="00906C21">
        <w:t xml:space="preserve"> 773 N.W.2d at 873.</w:t>
      </w:r>
      <w:r>
        <w:t xml:space="preserve">  “</w:t>
      </w:r>
      <w:r w:rsidR="00FF0391" w:rsidRPr="00FF0391">
        <w:t>The second principle is that it is rare that a sentence will be so grossly disproportionate to the crime as to satisfy the threshold inquiry and warrant further review.</w:t>
      </w:r>
      <w:r>
        <w:t xml:space="preserve">”  </w:t>
      </w:r>
      <w:r>
        <w:rPr>
          <w:i/>
        </w:rPr>
        <w:t>Oliver</w:t>
      </w:r>
      <w:r>
        <w:t>, 812 N.W.2d at 850.</w:t>
      </w:r>
      <w:r w:rsidR="00FF0391" w:rsidRPr="00FF0391">
        <w:t xml:space="preserve"> </w:t>
      </w:r>
      <w:r w:rsidR="00DC668E">
        <w:t xml:space="preserve"> </w:t>
      </w:r>
      <w:r w:rsidR="00FF0391" w:rsidRPr="00FF0391">
        <w:t>The third principle is that a recidivist offender is more culpable and thus more deserving of a longer sentence than a first-time offender.</w:t>
      </w:r>
      <w:r>
        <w:t xml:space="preserve">”  </w:t>
      </w:r>
      <w:r>
        <w:rPr>
          <w:i/>
        </w:rPr>
        <w:t>Id.</w:t>
      </w:r>
      <w:r>
        <w:t xml:space="preserve">; </w:t>
      </w:r>
      <w:r w:rsidR="0043614E">
        <w:rPr>
          <w:i/>
          <w:iCs/>
        </w:rPr>
        <w:t xml:space="preserve">accord </w:t>
      </w:r>
      <w:r w:rsidR="00DC668E">
        <w:rPr>
          <w:i/>
          <w:iCs/>
        </w:rPr>
        <w:t>Solem</w:t>
      </w:r>
      <w:r w:rsidR="00DC668E">
        <w:rPr>
          <w:iCs/>
        </w:rPr>
        <w:t>, 463 U.S. at 296</w:t>
      </w:r>
      <w:r>
        <w:rPr>
          <w:i/>
          <w:iCs/>
        </w:rPr>
        <w:t xml:space="preserve"> </w:t>
      </w:r>
      <w:r w:rsidR="00FF0391" w:rsidRPr="00FF0391">
        <w:t xml:space="preserve">(“[A] State is justified in punishing a recidivist more severely than it punishes a first offender.”). </w:t>
      </w:r>
      <w:r>
        <w:t xml:space="preserve"> In other words,</w:t>
      </w:r>
      <w:r w:rsidR="00FF0391" w:rsidRPr="00FF0391">
        <w:t xml:space="preserve"> when determining the gravity of the offender</w:t>
      </w:r>
      <w:r>
        <w:t>’</w:t>
      </w:r>
      <w:r w:rsidR="00FF0391" w:rsidRPr="00FF0391">
        <w:t>s crime, a district court can consider the offender</w:t>
      </w:r>
      <w:r w:rsidR="0043614E">
        <w:t>’</w:t>
      </w:r>
      <w:r w:rsidR="00FF0391" w:rsidRPr="00FF0391">
        <w:t>s criminal history.</w:t>
      </w:r>
      <w:r>
        <w:t xml:space="preserve">  “</w:t>
      </w:r>
      <w:r w:rsidR="00FF0391" w:rsidRPr="00FF0391">
        <w:t xml:space="preserve">Finally, we note that the unique features of a case can “converge to generate a high risk of potential gross disproportionality.” </w:t>
      </w:r>
      <w:r w:rsidR="00DC668E">
        <w:t xml:space="preserve"> </w:t>
      </w:r>
      <w:r>
        <w:rPr>
          <w:i/>
          <w:iCs/>
        </w:rPr>
        <w:t>Oliver</w:t>
      </w:r>
      <w:r>
        <w:rPr>
          <w:iCs/>
        </w:rPr>
        <w:t>, 812 N.W.2d at 851</w:t>
      </w:r>
      <w:r w:rsidRPr="00FF0391">
        <w:t>.</w:t>
      </w:r>
    </w:p>
    <w:p w14:paraId="529F3D58" w14:textId="4FD9C027" w:rsidR="00DF28A6" w:rsidRDefault="00AE50D3" w:rsidP="00442D0E">
      <w:pPr>
        <w:tabs>
          <w:tab w:val="clear" w:pos="720"/>
        </w:tabs>
        <w:autoSpaceDE w:val="0"/>
        <w:autoSpaceDN w:val="0"/>
        <w:adjustRightInd w:val="0"/>
        <w:spacing w:line="480" w:lineRule="auto"/>
        <w:ind w:firstLine="720"/>
      </w:pPr>
      <w:r>
        <w:rPr>
          <w:rFonts w:cs="Arial"/>
        </w:rPr>
        <w:t xml:space="preserve">In applying </w:t>
      </w:r>
      <w:r w:rsidR="00393CF0">
        <w:rPr>
          <w:rFonts w:cs="Arial"/>
        </w:rPr>
        <w:t>this</w:t>
      </w:r>
      <w:r w:rsidR="00906C21">
        <w:rPr>
          <w:rFonts w:cs="Arial"/>
        </w:rPr>
        <w:t xml:space="preserve"> </w:t>
      </w:r>
      <w:r>
        <w:rPr>
          <w:rFonts w:cs="Arial"/>
        </w:rPr>
        <w:t xml:space="preserve">analysis, we do not lose sight that Wilson was convicted of five separate offenses involving five separate victims.  </w:t>
      </w:r>
      <w:r w:rsidR="00BE5CE0">
        <w:rPr>
          <w:rFonts w:cs="Arial"/>
        </w:rPr>
        <w:t>Jailers and correctional officers are</w:t>
      </w:r>
      <w:r w:rsidR="00594ABD">
        <w:rPr>
          <w:rFonts w:cs="Arial"/>
        </w:rPr>
        <w:t>,</w:t>
      </w:r>
      <w:r w:rsidR="00BE5CE0">
        <w:rPr>
          <w:rFonts w:cs="Arial"/>
        </w:rPr>
        <w:t xml:space="preserve"> by the nature of t</w:t>
      </w:r>
      <w:r w:rsidR="00594ABD">
        <w:rPr>
          <w:rFonts w:cs="Arial"/>
        </w:rPr>
        <w:t xml:space="preserve">heir work, placed in </w:t>
      </w:r>
      <w:r w:rsidR="00FB24FD">
        <w:rPr>
          <w:rFonts w:cs="Arial"/>
        </w:rPr>
        <w:t>harm’s</w:t>
      </w:r>
      <w:r w:rsidR="00594ABD">
        <w:rPr>
          <w:rFonts w:cs="Arial"/>
        </w:rPr>
        <w:t xml:space="preserve"> way in supervis</w:t>
      </w:r>
      <w:r w:rsidR="00906C21">
        <w:rPr>
          <w:rFonts w:cs="Arial"/>
        </w:rPr>
        <w:t>ing</w:t>
      </w:r>
      <w:r w:rsidR="00594ABD">
        <w:rPr>
          <w:rFonts w:cs="Arial"/>
        </w:rPr>
        <w:t xml:space="preserve"> </w:t>
      </w:r>
      <w:r w:rsidR="00594ABD">
        <w:rPr>
          <w:rFonts w:cs="Arial"/>
        </w:rPr>
        <w:lastRenderedPageBreak/>
        <w:t>inmates.  Our supreme court has commented</w:t>
      </w:r>
      <w:r w:rsidR="00DF28A6">
        <w:rPr>
          <w:rFonts w:cs="Arial"/>
        </w:rPr>
        <w:t>, “</w:t>
      </w:r>
      <w:r w:rsidR="00594ABD" w:rsidRPr="00594ABD">
        <w:t>Among the obvious harms to be addressed by the enactment of section 708.3B are the risk of exposure to blood-borne diseases that arises when a person comes into contact with another person</w:t>
      </w:r>
      <w:r w:rsidR="0043614E">
        <w:t>’</w:t>
      </w:r>
      <w:r w:rsidR="00594ABD" w:rsidRPr="00594ABD">
        <w:t>s bodily fluids and the humiliating and degrading nature of coming into contact with other bodily substances.</w:t>
      </w:r>
      <w:r w:rsidR="00DF28A6">
        <w:t xml:space="preserve">”  </w:t>
      </w:r>
      <w:r w:rsidR="00594ABD" w:rsidRPr="00594ABD">
        <w:rPr>
          <w:rFonts w:cs="Arial"/>
          <w:i/>
          <w:color w:val="000000"/>
        </w:rPr>
        <w:t>State v. McCullah</w:t>
      </w:r>
      <w:r w:rsidR="00594ABD" w:rsidRPr="00594ABD">
        <w:rPr>
          <w:rFonts w:cs="Arial"/>
          <w:color w:val="000000"/>
        </w:rPr>
        <w:t>, 787 N.W.2d 90, 95 (Iowa 2010)</w:t>
      </w:r>
      <w:r w:rsidR="00594ABD">
        <w:rPr>
          <w:rFonts w:cs="Arial"/>
          <w:color w:val="000000"/>
        </w:rPr>
        <w:t xml:space="preserve">.  Further, </w:t>
      </w:r>
      <w:r w:rsidR="00DF28A6">
        <w:rPr>
          <w:rFonts w:cs="Arial"/>
          <w:color w:val="000000"/>
        </w:rPr>
        <w:t xml:space="preserve">our supreme court noted that although our legislature provided no statement of intent in the legislative history of the statute, other states’ legislatures had: </w:t>
      </w:r>
    </w:p>
    <w:p w14:paraId="664CAD85" w14:textId="070CAA75" w:rsidR="00594ABD" w:rsidRPr="00594ABD" w:rsidRDefault="00594ABD" w:rsidP="00DC668E">
      <w:pPr>
        <w:autoSpaceDE w:val="0"/>
        <w:autoSpaceDN w:val="0"/>
        <w:adjustRightInd w:val="0"/>
        <w:ind w:left="720" w:right="720"/>
      </w:pPr>
      <w:r w:rsidRPr="00594ABD">
        <w:t>For example, the New York State Assembly explained its reasoning when it enacted Penal Law section 240.32, aggravated harassment of an employee by an inmate.</w:t>
      </w:r>
    </w:p>
    <w:p w14:paraId="26A9C38D" w14:textId="6D181B98" w:rsidR="00594ABD" w:rsidRDefault="00DC668E" w:rsidP="00442D0E">
      <w:pPr>
        <w:ind w:left="1440" w:right="1440"/>
      </w:pPr>
      <w:r>
        <w:tab/>
      </w:r>
      <w:r w:rsidR="00594ABD" w:rsidRPr="00594ABD">
        <w:t xml:space="preserve">Within the past decade, there have been over 200 reported cases of inmates in state correctional facilities throwing, tossing or expelling excrement, urine, blood or other bodily fluids at correctional officers. </w:t>
      </w:r>
      <w:r w:rsidR="00DF28A6">
        <w:t xml:space="preserve"> </w:t>
      </w:r>
      <w:r w:rsidR="00594ABD" w:rsidRPr="00594ABD">
        <w:t xml:space="preserve">In addition to the vile and degrading nature of such conduct, the possibility for the transmission of diseases makes this conduct potentially a health risk for correctional officers, employees of the division of parole and employees of the office of mental health located within a correctional facility. </w:t>
      </w:r>
      <w:r w:rsidR="00DF28A6">
        <w:t xml:space="preserve"> </w:t>
      </w:r>
      <w:r w:rsidR="00594ABD" w:rsidRPr="00594ABD">
        <w:t>While administrative and disciplinary remedies are available for inmates who engage in this type of conduct, these remedies have not been effective in curbing this behavior.</w:t>
      </w:r>
    </w:p>
    <w:p w14:paraId="291A4CE0" w14:textId="77777777" w:rsidR="005F00D4" w:rsidRDefault="005F00D4" w:rsidP="005F00D4">
      <w:pPr>
        <w:ind w:right="720"/>
      </w:pPr>
    </w:p>
    <w:p w14:paraId="2846F02C" w14:textId="5240025A" w:rsidR="00DC668E" w:rsidRPr="00594ABD" w:rsidRDefault="005F00D4" w:rsidP="005F00D4">
      <w:pPr>
        <w:spacing w:line="480" w:lineRule="auto"/>
      </w:pPr>
      <w:r>
        <w:rPr>
          <w:i/>
        </w:rPr>
        <w:t xml:space="preserve">Id. </w:t>
      </w:r>
      <w:r>
        <w:t xml:space="preserve">at 95 n.3 (quoting N.Y. Penal Law § 240.32 Legislative Memorandum (McKinney 2008)). </w:t>
      </w:r>
    </w:p>
    <w:p w14:paraId="3ED6652D" w14:textId="7662414D" w:rsidR="005564D0" w:rsidRDefault="00DF28A6" w:rsidP="00FB24FD">
      <w:pPr>
        <w:shd w:val="clear" w:color="auto" w:fill="FFFFFF"/>
        <w:tabs>
          <w:tab w:val="clear" w:pos="720"/>
        </w:tabs>
        <w:spacing w:line="480" w:lineRule="auto"/>
        <w:rPr>
          <w:rFonts w:cs="Arial"/>
          <w:color w:val="000000"/>
        </w:rPr>
      </w:pPr>
      <w:r>
        <w:rPr>
          <w:rFonts w:cs="Arial"/>
          <w:color w:val="000000"/>
        </w:rPr>
        <w:tab/>
        <w:t>O</w:t>
      </w:r>
      <w:r w:rsidR="00FB24FD">
        <w:rPr>
          <w:rFonts w:cs="Arial"/>
          <w:color w:val="000000"/>
        </w:rPr>
        <w:t>ur supreme court has recognized a penological rationale for this statute, that being deterrence.</w:t>
      </w:r>
      <w:r w:rsidR="00FF0391">
        <w:rPr>
          <w:rFonts w:cs="Arial"/>
          <w:color w:val="000000"/>
        </w:rPr>
        <w:t xml:space="preserve">  A five</w:t>
      </w:r>
      <w:r>
        <w:rPr>
          <w:rFonts w:cs="Arial"/>
          <w:color w:val="000000"/>
        </w:rPr>
        <w:t>-</w:t>
      </w:r>
      <w:r w:rsidR="00FF0391">
        <w:rPr>
          <w:rFonts w:cs="Arial"/>
          <w:color w:val="000000"/>
        </w:rPr>
        <w:t xml:space="preserve">year sentence </w:t>
      </w:r>
      <w:r w:rsidR="00393CF0">
        <w:rPr>
          <w:rFonts w:cs="Arial"/>
          <w:color w:val="000000"/>
        </w:rPr>
        <w:t xml:space="preserve">for the potentially serious consequences faced by a jailer or correctional officer of an assault with bodily fluids appears to be justified and well within the discretion of our legislature.  Additionally, Wilson is a recidivist offender. </w:t>
      </w:r>
      <w:r w:rsidR="00DC668E">
        <w:rPr>
          <w:rFonts w:cs="Arial"/>
          <w:color w:val="000000"/>
        </w:rPr>
        <w:t xml:space="preserve"> As</w:t>
      </w:r>
      <w:r w:rsidR="00442D0E">
        <w:rPr>
          <w:rFonts w:cs="Arial"/>
          <w:color w:val="000000"/>
        </w:rPr>
        <w:t xml:space="preserve"> the trial court noted, </w:t>
      </w:r>
      <w:r w:rsidR="00125B21">
        <w:rPr>
          <w:rFonts w:cs="Arial"/>
          <w:color w:val="000000"/>
        </w:rPr>
        <w:t>Wilson</w:t>
      </w:r>
      <w:r w:rsidR="00393CF0">
        <w:rPr>
          <w:rFonts w:cs="Arial"/>
          <w:color w:val="000000"/>
        </w:rPr>
        <w:t xml:space="preserve"> had previously been </w:t>
      </w:r>
      <w:r w:rsidR="00393CF0">
        <w:rPr>
          <w:rFonts w:cs="Arial"/>
          <w:color w:val="000000"/>
        </w:rPr>
        <w:lastRenderedPageBreak/>
        <w:t xml:space="preserve">convicted of </w:t>
      </w:r>
      <w:r>
        <w:rPr>
          <w:rFonts w:cs="Arial"/>
          <w:color w:val="000000"/>
        </w:rPr>
        <w:t>more than</w:t>
      </w:r>
      <w:r w:rsidR="00393CF0">
        <w:rPr>
          <w:rFonts w:cs="Arial"/>
          <w:color w:val="000000"/>
        </w:rPr>
        <w:t xml:space="preserve"> </w:t>
      </w:r>
      <w:r>
        <w:rPr>
          <w:rFonts w:cs="Arial"/>
          <w:color w:val="000000"/>
        </w:rPr>
        <w:t xml:space="preserve">eighty </w:t>
      </w:r>
      <w:r w:rsidR="00393CF0">
        <w:rPr>
          <w:rFonts w:cs="Arial"/>
          <w:color w:val="000000"/>
        </w:rPr>
        <w:t>offenses.</w:t>
      </w:r>
      <w:r>
        <w:rPr>
          <w:rFonts w:cs="Arial"/>
          <w:color w:val="000000"/>
        </w:rPr>
        <w:t xml:space="preserve"> </w:t>
      </w:r>
      <w:r w:rsidR="00393CF0">
        <w:rPr>
          <w:rFonts w:cs="Arial"/>
          <w:color w:val="000000"/>
        </w:rPr>
        <w:t xml:space="preserve"> </w:t>
      </w:r>
      <w:r w:rsidR="005564D0">
        <w:rPr>
          <w:rFonts w:cs="Arial"/>
          <w:color w:val="000000"/>
        </w:rPr>
        <w:t>Imposing consecutive sentences that total seventeen years for felony and misdemeanor assaults on five jailers does not cross the line of gross disproportionality.</w:t>
      </w:r>
    </w:p>
    <w:p w14:paraId="0E8A2538" w14:textId="2E848E71" w:rsidR="005564D0" w:rsidRPr="0006603D" w:rsidRDefault="00831ED8" w:rsidP="00831ED8">
      <w:pPr>
        <w:shd w:val="clear" w:color="auto" w:fill="FFFFFF"/>
        <w:tabs>
          <w:tab w:val="clear" w:pos="720"/>
        </w:tabs>
        <w:spacing w:line="480" w:lineRule="auto"/>
        <w:rPr>
          <w:rFonts w:cs="Arial"/>
          <w:b/>
          <w:color w:val="000000"/>
        </w:rPr>
      </w:pPr>
      <w:r w:rsidRPr="0006603D">
        <w:rPr>
          <w:rFonts w:cs="Arial"/>
          <w:b/>
          <w:color w:val="000000"/>
        </w:rPr>
        <w:t xml:space="preserve">VI. </w:t>
      </w:r>
      <w:r w:rsidR="005564D0" w:rsidRPr="0006603D">
        <w:rPr>
          <w:rFonts w:cs="Arial"/>
          <w:b/>
          <w:color w:val="000000"/>
        </w:rPr>
        <w:t>Conclusion.</w:t>
      </w:r>
    </w:p>
    <w:p w14:paraId="1FD0EFF8" w14:textId="4E09F71C" w:rsidR="00393CF0" w:rsidRDefault="005564D0" w:rsidP="005564D0">
      <w:pPr>
        <w:shd w:val="clear" w:color="auto" w:fill="FFFFFF"/>
        <w:tabs>
          <w:tab w:val="clear" w:pos="720"/>
        </w:tabs>
        <w:spacing w:line="480" w:lineRule="auto"/>
        <w:ind w:firstLine="720"/>
        <w:rPr>
          <w:rFonts w:cs="Arial"/>
          <w:color w:val="000000"/>
        </w:rPr>
      </w:pPr>
      <w:r>
        <w:rPr>
          <w:rFonts w:cs="Arial"/>
          <w:color w:val="000000"/>
        </w:rPr>
        <w:t>Having addressed all of Wilson’s contentions and finding that he cannot prevail on any in this appeal, the judgment of the district court is affirmed.</w:t>
      </w:r>
    </w:p>
    <w:p w14:paraId="768456FC" w14:textId="6F59C6DC" w:rsidR="005564D0" w:rsidRPr="0006603D" w:rsidRDefault="005564D0" w:rsidP="0006603D">
      <w:pPr>
        <w:shd w:val="clear" w:color="auto" w:fill="FFFFFF"/>
        <w:tabs>
          <w:tab w:val="clear" w:pos="720"/>
        </w:tabs>
        <w:spacing w:line="480" w:lineRule="auto"/>
        <w:ind w:firstLine="720"/>
        <w:rPr>
          <w:rFonts w:cs="Arial"/>
          <w:b/>
          <w:color w:val="000000"/>
        </w:rPr>
      </w:pPr>
      <w:r w:rsidRPr="0006603D">
        <w:rPr>
          <w:rFonts w:cs="Arial"/>
          <w:b/>
          <w:color w:val="000000"/>
        </w:rPr>
        <w:t>AFFIRMED.</w:t>
      </w:r>
    </w:p>
    <w:p w14:paraId="3A7160F6" w14:textId="77777777" w:rsidR="0085525F" w:rsidRPr="00D27C26" w:rsidRDefault="0085525F" w:rsidP="0085525F">
      <w:pPr>
        <w:tabs>
          <w:tab w:val="clear" w:pos="720"/>
        </w:tabs>
        <w:autoSpaceDE w:val="0"/>
        <w:autoSpaceDN w:val="0"/>
        <w:adjustRightInd w:val="0"/>
        <w:spacing w:line="480" w:lineRule="auto"/>
        <w:rPr>
          <w:rFonts w:cs="Arial"/>
          <w:color w:val="000000"/>
        </w:rPr>
      </w:pPr>
    </w:p>
    <w:sectPr w:rsidR="0085525F" w:rsidRPr="00D27C26" w:rsidSect="008A5DE2">
      <w:headerReference w:type="even" r:id="rId8"/>
      <w:headerReference w:type="default" r:id="rId9"/>
      <w:pgSz w:w="12240" w:h="15840"/>
      <w:pgMar w:top="1440" w:right="1800" w:bottom="129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C6933" w14:textId="77777777" w:rsidR="00125B21" w:rsidRDefault="00125B21">
      <w:r>
        <w:separator/>
      </w:r>
    </w:p>
  </w:endnote>
  <w:endnote w:type="continuationSeparator" w:id="0">
    <w:p w14:paraId="58DDC7BE" w14:textId="77777777" w:rsidR="00125B21" w:rsidRDefault="00125B21">
      <w:r>
        <w:continuationSeparator/>
      </w:r>
    </w:p>
  </w:endnote>
  <w:endnote w:type="continuationNotice" w:id="1">
    <w:p w14:paraId="3E0B9A3D" w14:textId="77777777" w:rsidR="00125B21" w:rsidRDefault="00125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A52E5" w14:textId="77777777" w:rsidR="00125B21" w:rsidRDefault="00125B21">
      <w:r>
        <w:separator/>
      </w:r>
    </w:p>
  </w:footnote>
  <w:footnote w:type="continuationSeparator" w:id="0">
    <w:p w14:paraId="13832CF4" w14:textId="77777777" w:rsidR="00125B21" w:rsidRDefault="00125B21">
      <w:r>
        <w:continuationSeparator/>
      </w:r>
    </w:p>
  </w:footnote>
  <w:footnote w:type="continuationNotice" w:id="1">
    <w:p w14:paraId="662C715B" w14:textId="77777777" w:rsidR="00125B21" w:rsidRDefault="00125B21"/>
  </w:footnote>
  <w:footnote w:id="2">
    <w:p w14:paraId="7E9FD155" w14:textId="32701F3C" w:rsidR="00125B21" w:rsidRPr="0006603D" w:rsidRDefault="00125B21" w:rsidP="0006603D">
      <w:pPr>
        <w:tabs>
          <w:tab w:val="clear" w:pos="720"/>
        </w:tabs>
        <w:autoSpaceDE w:val="0"/>
        <w:autoSpaceDN w:val="0"/>
        <w:adjustRightInd w:val="0"/>
        <w:jc w:val="left"/>
        <w:rPr>
          <w:rFonts w:cs="Arial"/>
          <w:sz w:val="22"/>
          <w:szCs w:val="22"/>
        </w:rPr>
      </w:pPr>
      <w:r>
        <w:rPr>
          <w:rStyle w:val="FootnoteReference"/>
        </w:rPr>
        <w:footnoteRef/>
      </w:r>
      <w:r w:rsidRPr="0006603D">
        <w:rPr>
          <w:sz w:val="22"/>
          <w:szCs w:val="22"/>
        </w:rPr>
        <w:t xml:space="preserve"> </w:t>
      </w:r>
      <w:r w:rsidRPr="0006603D">
        <w:rPr>
          <w:rFonts w:cs="Arial"/>
          <w:sz w:val="22"/>
          <w:szCs w:val="22"/>
        </w:rPr>
        <w:t>Wilson was charged with violating Iowa Code section 708.3B(2)</w:t>
      </w:r>
      <w:r w:rsidR="00434366">
        <w:rPr>
          <w:rFonts w:cs="Arial"/>
          <w:sz w:val="22"/>
          <w:szCs w:val="22"/>
        </w:rPr>
        <w:t xml:space="preserve"> (2011),</w:t>
      </w:r>
      <w:r w:rsidRPr="0006603D">
        <w:rPr>
          <w:rFonts w:cs="Arial"/>
          <w:sz w:val="22"/>
          <w:szCs w:val="22"/>
        </w:rPr>
        <w:t xml:space="preserve"> which </w:t>
      </w:r>
      <w:r w:rsidR="00B4049B">
        <w:rPr>
          <w:rFonts w:cs="Arial"/>
          <w:sz w:val="22"/>
          <w:szCs w:val="22"/>
        </w:rPr>
        <w:t>defines the crime</w:t>
      </w:r>
      <w:r w:rsidR="00B4049B" w:rsidRPr="0006603D">
        <w:rPr>
          <w:rFonts w:cs="Arial"/>
          <w:sz w:val="22"/>
          <w:szCs w:val="22"/>
        </w:rPr>
        <w:t xml:space="preserve"> </w:t>
      </w:r>
      <w:r w:rsidRPr="0006603D">
        <w:rPr>
          <w:rFonts w:cs="Arial"/>
          <w:sz w:val="22"/>
          <w:szCs w:val="22"/>
        </w:rPr>
        <w:t>as follows:</w:t>
      </w:r>
    </w:p>
    <w:p w14:paraId="69D5ABF7" w14:textId="5E6DD500" w:rsidR="00DF28A6" w:rsidRPr="0006603D" w:rsidRDefault="00125B21" w:rsidP="0006603D">
      <w:pPr>
        <w:pStyle w:val="BlockQuote"/>
        <w:rPr>
          <w:sz w:val="22"/>
          <w:szCs w:val="22"/>
        </w:rPr>
      </w:pPr>
      <w:r w:rsidRPr="0006603D">
        <w:rPr>
          <w:sz w:val="22"/>
          <w:szCs w:val="22"/>
        </w:rPr>
        <w:t xml:space="preserve">An act which is intended to cause pain or injury or be insulting or offensive and which results in </w:t>
      </w:r>
      <w:r w:rsidRPr="0006603D">
        <w:rPr>
          <w:bCs/>
          <w:sz w:val="22"/>
          <w:szCs w:val="22"/>
        </w:rPr>
        <w:t xml:space="preserve">blood, seminal fluid, </w:t>
      </w:r>
      <w:r w:rsidRPr="0006603D">
        <w:rPr>
          <w:bCs/>
          <w:i/>
          <w:sz w:val="22"/>
          <w:szCs w:val="22"/>
        </w:rPr>
        <w:t>urine</w:t>
      </w:r>
      <w:r w:rsidRPr="0006603D">
        <w:rPr>
          <w:bCs/>
          <w:sz w:val="22"/>
          <w:szCs w:val="22"/>
        </w:rPr>
        <w:t>, or feces</w:t>
      </w:r>
      <w:r w:rsidRPr="0006603D">
        <w:rPr>
          <w:b/>
          <w:bCs/>
          <w:sz w:val="22"/>
          <w:szCs w:val="22"/>
        </w:rPr>
        <w:t xml:space="preserve"> </w:t>
      </w:r>
      <w:r w:rsidRPr="0006603D">
        <w:rPr>
          <w:sz w:val="22"/>
          <w:szCs w:val="22"/>
        </w:rPr>
        <w:t xml:space="preserve">being cast or expelled upon an employee of the jail or institution or facility under the control of the department of corrections. </w:t>
      </w:r>
    </w:p>
    <w:p w14:paraId="542EA97B" w14:textId="621EA098" w:rsidR="00125B21" w:rsidRPr="00C5183E" w:rsidRDefault="00125B21" w:rsidP="0006603D">
      <w:pPr>
        <w:pStyle w:val="BlockQuote"/>
        <w:ind w:left="0"/>
      </w:pPr>
      <w:r w:rsidRPr="0006603D">
        <w:rPr>
          <w:sz w:val="22"/>
          <w:szCs w:val="22"/>
        </w:rPr>
        <w:t>(Emphasis added).</w:t>
      </w:r>
    </w:p>
  </w:footnote>
  <w:footnote w:id="3">
    <w:p w14:paraId="5A0F36E7" w14:textId="77777777" w:rsidR="00125B21" w:rsidRDefault="00125B21" w:rsidP="00C80DBF">
      <w:pPr>
        <w:pStyle w:val="FootnoteText"/>
      </w:pPr>
      <w:r>
        <w:rPr>
          <w:rStyle w:val="FootnoteReference"/>
        </w:rPr>
        <w:footnoteRef/>
      </w:r>
      <w:r>
        <w:t xml:space="preserve"> Wilson was not charged with assaulting Officer Parker.</w:t>
      </w:r>
    </w:p>
  </w:footnote>
  <w:footnote w:id="4">
    <w:p w14:paraId="360812B4" w14:textId="4D864D6C" w:rsidR="00125B21" w:rsidRDefault="00125B21" w:rsidP="003B2182">
      <w:pPr>
        <w:tabs>
          <w:tab w:val="clear" w:pos="720"/>
        </w:tabs>
        <w:autoSpaceDE w:val="0"/>
        <w:autoSpaceDN w:val="0"/>
        <w:adjustRightInd w:val="0"/>
      </w:pPr>
      <w:r>
        <w:rPr>
          <w:rStyle w:val="FootnoteReference"/>
        </w:rPr>
        <w:footnoteRef/>
      </w:r>
      <w:r>
        <w:t xml:space="preserve"> </w:t>
      </w:r>
      <w:r>
        <w:rPr>
          <w:sz w:val="22"/>
          <w:szCs w:val="22"/>
        </w:rPr>
        <w:t>Later</w:t>
      </w:r>
      <w:r w:rsidRPr="00AC2C56">
        <w:rPr>
          <w:sz w:val="22"/>
          <w:szCs w:val="22"/>
        </w:rPr>
        <w:t xml:space="preserve">, in its </w:t>
      </w:r>
      <w:r w:rsidR="006B534B">
        <w:rPr>
          <w:sz w:val="22"/>
          <w:szCs w:val="22"/>
        </w:rPr>
        <w:t>c</w:t>
      </w:r>
      <w:r w:rsidRPr="00AC2C56">
        <w:rPr>
          <w:sz w:val="22"/>
          <w:szCs w:val="22"/>
        </w:rPr>
        <w:t xml:space="preserve">onclusions of </w:t>
      </w:r>
      <w:r w:rsidR="00442D0E">
        <w:rPr>
          <w:sz w:val="22"/>
          <w:szCs w:val="22"/>
        </w:rPr>
        <w:t>l</w:t>
      </w:r>
      <w:r w:rsidRPr="00AC2C56">
        <w:rPr>
          <w:sz w:val="22"/>
          <w:szCs w:val="22"/>
        </w:rPr>
        <w:t>aw, the district court stated: “</w:t>
      </w:r>
      <w:r w:rsidRPr="00AC2C56">
        <w:rPr>
          <w:rFonts w:cs="Arial"/>
          <w:sz w:val="22"/>
          <w:szCs w:val="22"/>
        </w:rPr>
        <w:t>The sole issues presented to the court in the Applicant</w:t>
      </w:r>
      <w:r w:rsidR="006B534B">
        <w:rPr>
          <w:rFonts w:cs="Arial"/>
          <w:sz w:val="22"/>
          <w:szCs w:val="22"/>
        </w:rPr>
        <w:t>’</w:t>
      </w:r>
      <w:r w:rsidRPr="00AC2C56">
        <w:rPr>
          <w:rFonts w:cs="Arial"/>
          <w:sz w:val="22"/>
          <w:szCs w:val="22"/>
        </w:rPr>
        <w:t>s Amended Application</w:t>
      </w:r>
      <w:r>
        <w:rPr>
          <w:rFonts w:cs="Arial"/>
          <w:sz w:val="22"/>
          <w:szCs w:val="22"/>
        </w:rPr>
        <w:t xml:space="preserve"> </w:t>
      </w:r>
      <w:r w:rsidRPr="00AC2C56">
        <w:rPr>
          <w:rFonts w:cs="Arial"/>
          <w:sz w:val="22"/>
          <w:szCs w:val="22"/>
        </w:rPr>
        <w:t xml:space="preserve">and trial brief relate to claims of </w:t>
      </w:r>
      <w:r>
        <w:rPr>
          <w:rFonts w:cs="Arial"/>
          <w:sz w:val="22"/>
          <w:szCs w:val="22"/>
        </w:rPr>
        <w:t>i</w:t>
      </w:r>
      <w:r w:rsidRPr="00AC2C56">
        <w:rPr>
          <w:rFonts w:cs="Arial"/>
          <w:sz w:val="22"/>
          <w:szCs w:val="22"/>
        </w:rPr>
        <w:t>neffective assistance of trial counsel.</w:t>
      </w:r>
      <w:r>
        <w:rPr>
          <w:rFonts w:cs="Arial"/>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971" w14:textId="77777777" w:rsidR="00125B21" w:rsidRDefault="00125B21" w:rsidP="00504E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42C1DD" w14:textId="77777777" w:rsidR="00125B21" w:rsidRDefault="00125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CE517" w14:textId="67C8CC09" w:rsidR="00125B21" w:rsidRDefault="00125B21" w:rsidP="00504E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614D">
      <w:rPr>
        <w:rStyle w:val="PageNumber"/>
        <w:noProof/>
      </w:rPr>
      <w:t>2</w:t>
    </w:r>
    <w:r>
      <w:rPr>
        <w:rStyle w:val="PageNumber"/>
      </w:rPr>
      <w:fldChar w:fldCharType="end"/>
    </w:r>
  </w:p>
  <w:p w14:paraId="648DABF3" w14:textId="77777777" w:rsidR="00125B21" w:rsidRDefault="0012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63C46"/>
    <w:multiLevelType w:val="hybridMultilevel"/>
    <w:tmpl w:val="8BBE6D54"/>
    <w:lvl w:ilvl="0" w:tplc="9814E1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3B5413"/>
    <w:multiLevelType w:val="hybridMultilevel"/>
    <w:tmpl w:val="695A3212"/>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2A81DA6"/>
    <w:multiLevelType w:val="hybridMultilevel"/>
    <w:tmpl w:val="0630DB8E"/>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BCA7D97"/>
    <w:multiLevelType w:val="hybridMultilevel"/>
    <w:tmpl w:val="04EE766E"/>
    <w:lvl w:ilvl="0" w:tplc="EA8820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7"/>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BE"/>
    <w:rsid w:val="000074C8"/>
    <w:rsid w:val="00024287"/>
    <w:rsid w:val="00033B0B"/>
    <w:rsid w:val="0006603D"/>
    <w:rsid w:val="00071D38"/>
    <w:rsid w:val="000A6DC5"/>
    <w:rsid w:val="000B2A30"/>
    <w:rsid w:val="000D1858"/>
    <w:rsid w:val="000E614D"/>
    <w:rsid w:val="00122E7E"/>
    <w:rsid w:val="00125B21"/>
    <w:rsid w:val="00126965"/>
    <w:rsid w:val="00144A00"/>
    <w:rsid w:val="00170AF2"/>
    <w:rsid w:val="00177E92"/>
    <w:rsid w:val="001A7356"/>
    <w:rsid w:val="001D0CD8"/>
    <w:rsid w:val="001E26AE"/>
    <w:rsid w:val="00224958"/>
    <w:rsid w:val="00286BCD"/>
    <w:rsid w:val="00295D98"/>
    <w:rsid w:val="002A0B71"/>
    <w:rsid w:val="002C0F97"/>
    <w:rsid w:val="002D14C5"/>
    <w:rsid w:val="003000C7"/>
    <w:rsid w:val="00317D47"/>
    <w:rsid w:val="00317E1A"/>
    <w:rsid w:val="00333C28"/>
    <w:rsid w:val="00373007"/>
    <w:rsid w:val="00376D80"/>
    <w:rsid w:val="00393CF0"/>
    <w:rsid w:val="003B2182"/>
    <w:rsid w:val="003D182E"/>
    <w:rsid w:val="003E76B0"/>
    <w:rsid w:val="00416A7B"/>
    <w:rsid w:val="00432C6B"/>
    <w:rsid w:val="00434366"/>
    <w:rsid w:val="0043614E"/>
    <w:rsid w:val="00442362"/>
    <w:rsid w:val="00442D0E"/>
    <w:rsid w:val="00476720"/>
    <w:rsid w:val="00485F04"/>
    <w:rsid w:val="004906A6"/>
    <w:rsid w:val="00491EA6"/>
    <w:rsid w:val="004F600C"/>
    <w:rsid w:val="00504EEF"/>
    <w:rsid w:val="00522B03"/>
    <w:rsid w:val="00536078"/>
    <w:rsid w:val="00537F92"/>
    <w:rsid w:val="005564D0"/>
    <w:rsid w:val="00593270"/>
    <w:rsid w:val="00594ABD"/>
    <w:rsid w:val="005A0009"/>
    <w:rsid w:val="005A46FD"/>
    <w:rsid w:val="005A6DF6"/>
    <w:rsid w:val="005D60CE"/>
    <w:rsid w:val="005F00D4"/>
    <w:rsid w:val="00606FF2"/>
    <w:rsid w:val="0061638A"/>
    <w:rsid w:val="00622514"/>
    <w:rsid w:val="006271D0"/>
    <w:rsid w:val="006343C7"/>
    <w:rsid w:val="0065753E"/>
    <w:rsid w:val="00673FB1"/>
    <w:rsid w:val="00684843"/>
    <w:rsid w:val="006B534B"/>
    <w:rsid w:val="006E221C"/>
    <w:rsid w:val="006F6AEF"/>
    <w:rsid w:val="0072186D"/>
    <w:rsid w:val="0078167B"/>
    <w:rsid w:val="007F27A2"/>
    <w:rsid w:val="007F4A32"/>
    <w:rsid w:val="0082664F"/>
    <w:rsid w:val="00831ED8"/>
    <w:rsid w:val="00843318"/>
    <w:rsid w:val="008446BE"/>
    <w:rsid w:val="00846FB9"/>
    <w:rsid w:val="0085525F"/>
    <w:rsid w:val="00867F67"/>
    <w:rsid w:val="00874B94"/>
    <w:rsid w:val="00881FDB"/>
    <w:rsid w:val="008874E6"/>
    <w:rsid w:val="00891B35"/>
    <w:rsid w:val="008927C9"/>
    <w:rsid w:val="008A5DE2"/>
    <w:rsid w:val="009043F4"/>
    <w:rsid w:val="00906C21"/>
    <w:rsid w:val="00910A95"/>
    <w:rsid w:val="009222BE"/>
    <w:rsid w:val="009336C8"/>
    <w:rsid w:val="00935C3C"/>
    <w:rsid w:val="009471AA"/>
    <w:rsid w:val="00960463"/>
    <w:rsid w:val="009A70F2"/>
    <w:rsid w:val="009E46DF"/>
    <w:rsid w:val="009F6198"/>
    <w:rsid w:val="009F6B3F"/>
    <w:rsid w:val="00AA2EA7"/>
    <w:rsid w:val="00AC2C56"/>
    <w:rsid w:val="00AE50D3"/>
    <w:rsid w:val="00AF66D2"/>
    <w:rsid w:val="00B07362"/>
    <w:rsid w:val="00B212E2"/>
    <w:rsid w:val="00B25D3E"/>
    <w:rsid w:val="00B4049B"/>
    <w:rsid w:val="00B563E3"/>
    <w:rsid w:val="00B644C6"/>
    <w:rsid w:val="00B662B9"/>
    <w:rsid w:val="00B81227"/>
    <w:rsid w:val="00B81E6A"/>
    <w:rsid w:val="00B83605"/>
    <w:rsid w:val="00B944D0"/>
    <w:rsid w:val="00BA293D"/>
    <w:rsid w:val="00BB5C1F"/>
    <w:rsid w:val="00BE5337"/>
    <w:rsid w:val="00BE5CE0"/>
    <w:rsid w:val="00BF1069"/>
    <w:rsid w:val="00C428BE"/>
    <w:rsid w:val="00C5183E"/>
    <w:rsid w:val="00C54200"/>
    <w:rsid w:val="00C63D76"/>
    <w:rsid w:val="00C80DBF"/>
    <w:rsid w:val="00C906E9"/>
    <w:rsid w:val="00CA2D35"/>
    <w:rsid w:val="00CD517A"/>
    <w:rsid w:val="00CE18D0"/>
    <w:rsid w:val="00D15888"/>
    <w:rsid w:val="00D263D3"/>
    <w:rsid w:val="00D27C26"/>
    <w:rsid w:val="00D424F0"/>
    <w:rsid w:val="00D46DFB"/>
    <w:rsid w:val="00D51082"/>
    <w:rsid w:val="00D70221"/>
    <w:rsid w:val="00DC4F38"/>
    <w:rsid w:val="00DC668E"/>
    <w:rsid w:val="00DE03E3"/>
    <w:rsid w:val="00DE1BDB"/>
    <w:rsid w:val="00DE68D8"/>
    <w:rsid w:val="00DF28A6"/>
    <w:rsid w:val="00DF488A"/>
    <w:rsid w:val="00DF5229"/>
    <w:rsid w:val="00DF7403"/>
    <w:rsid w:val="00E263FD"/>
    <w:rsid w:val="00E4286F"/>
    <w:rsid w:val="00E92409"/>
    <w:rsid w:val="00E95D9C"/>
    <w:rsid w:val="00EC0F62"/>
    <w:rsid w:val="00EC1713"/>
    <w:rsid w:val="00F36257"/>
    <w:rsid w:val="00F52726"/>
    <w:rsid w:val="00F55D63"/>
    <w:rsid w:val="00F60F1A"/>
    <w:rsid w:val="00FB24FD"/>
    <w:rsid w:val="00FC520E"/>
    <w:rsid w:val="00FF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1F2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409"/>
    <w:pPr>
      <w:tabs>
        <w:tab w:val="left" w:pos="720"/>
      </w:tabs>
      <w:jc w:val="both"/>
    </w:pPr>
    <w:rPr>
      <w:rFonts w:ascii="Arial" w:hAnsi="Arial"/>
      <w:sz w:val="24"/>
      <w:szCs w:val="24"/>
    </w:rPr>
  </w:style>
  <w:style w:type="paragraph" w:styleId="Heading1">
    <w:name w:val="heading 1"/>
    <w:basedOn w:val="Normal"/>
    <w:next w:val="Normal"/>
    <w:qFormat/>
    <w:rsid w:val="00E92409"/>
    <w:pPr>
      <w:keepNext/>
      <w:outlineLvl w:val="0"/>
    </w:pPr>
    <w:rPr>
      <w:rFonts w:cs="Arial"/>
      <w:b/>
      <w:bCs/>
      <w:i/>
    </w:rPr>
  </w:style>
  <w:style w:type="paragraph" w:styleId="Heading2">
    <w:name w:val="heading 2"/>
    <w:basedOn w:val="Normal"/>
    <w:next w:val="Normal"/>
    <w:link w:val="Heading2Char"/>
    <w:autoRedefine/>
    <w:unhideWhenUsed/>
    <w:qFormat/>
    <w:rsid w:val="00286BCD"/>
    <w:pPr>
      <w:spacing w:line="480" w:lineRule="auto"/>
      <w:outlineLvl w:val="1"/>
    </w:pPr>
    <w:rPr>
      <w:b/>
      <w:bCs/>
      <w:i/>
      <w:szCs w:val="26"/>
    </w:rPr>
  </w:style>
  <w:style w:type="paragraph" w:styleId="Heading3">
    <w:name w:val="heading 3"/>
    <w:basedOn w:val="Normal"/>
    <w:next w:val="Normal"/>
    <w:link w:val="Heading3Char"/>
    <w:autoRedefine/>
    <w:unhideWhenUsed/>
    <w:qFormat/>
    <w:rsid w:val="00286BCD"/>
    <w:pPr>
      <w:widowControl w:val="0"/>
      <w:spacing w:line="480" w:lineRule="auto"/>
      <w:outlineLvl w:val="2"/>
    </w:pPr>
    <w:rPr>
      <w:b/>
      <w:bCs/>
      <w:i/>
    </w:rPr>
  </w:style>
  <w:style w:type="paragraph" w:styleId="Heading4">
    <w:name w:val="heading 4"/>
    <w:basedOn w:val="Normal"/>
    <w:next w:val="Normal"/>
    <w:link w:val="Heading4Char"/>
    <w:autoRedefine/>
    <w:unhideWhenUsed/>
    <w:qFormat/>
    <w:rsid w:val="00286BCD"/>
    <w:pPr>
      <w:widowControl w:val="0"/>
      <w:spacing w:line="480" w:lineRule="auto"/>
      <w:outlineLvl w:val="3"/>
    </w:pPr>
    <w:rPr>
      <w:b/>
      <w:bCs/>
      <w:i/>
      <w:iCs/>
    </w:rPr>
  </w:style>
  <w:style w:type="paragraph" w:styleId="Heading5">
    <w:name w:val="heading 5"/>
    <w:basedOn w:val="Normal"/>
    <w:next w:val="Normal"/>
    <w:link w:val="Heading5Char"/>
    <w:uiPriority w:val="9"/>
    <w:unhideWhenUsed/>
    <w:qFormat/>
    <w:rsid w:val="00286BCD"/>
    <w:pPr>
      <w:widowControl w:val="0"/>
      <w:spacing w:line="480" w:lineRule="auto"/>
      <w:outlineLvl w:val="4"/>
    </w:pPr>
    <w:rPr>
      <w:rFonts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2409"/>
    <w:pPr>
      <w:tabs>
        <w:tab w:val="center" w:pos="4320"/>
        <w:tab w:val="right" w:pos="8640"/>
      </w:tabs>
    </w:pPr>
  </w:style>
  <w:style w:type="character" w:styleId="PageNumber">
    <w:name w:val="page number"/>
    <w:rsid w:val="00E92409"/>
    <w:rPr>
      <w:rFonts w:ascii="Arial" w:hAnsi="Arial"/>
      <w:color w:val="auto"/>
      <w:sz w:val="24"/>
      <w:szCs w:val="24"/>
    </w:rPr>
  </w:style>
  <w:style w:type="paragraph" w:styleId="EnvelopeAddress">
    <w:name w:val="envelope address"/>
    <w:basedOn w:val="Normal"/>
    <w:rsid w:val="00317E1A"/>
    <w:pPr>
      <w:framePr w:w="7920" w:h="1980" w:hRule="exact" w:hSpace="180" w:wrap="auto" w:hAnchor="page" w:xAlign="center" w:yAlign="bottom"/>
      <w:tabs>
        <w:tab w:val="clear" w:pos="720"/>
      </w:tabs>
      <w:ind w:left="2880"/>
    </w:pPr>
    <w:rPr>
      <w:rFonts w:cs="Arial"/>
    </w:rPr>
  </w:style>
  <w:style w:type="paragraph" w:styleId="FootnoteText">
    <w:name w:val="footnote text"/>
    <w:basedOn w:val="Normal"/>
    <w:link w:val="FootnoteTextChar"/>
    <w:rsid w:val="00333C28"/>
    <w:rPr>
      <w:sz w:val="22"/>
      <w:szCs w:val="20"/>
    </w:rPr>
  </w:style>
  <w:style w:type="paragraph" w:customStyle="1" w:styleId="BlockQuote">
    <w:name w:val="Block Quote"/>
    <w:basedOn w:val="Normal"/>
    <w:autoRedefine/>
    <w:qFormat/>
    <w:rsid w:val="0006603D"/>
    <w:pPr>
      <w:ind w:left="720" w:right="720"/>
    </w:pPr>
    <w:rPr>
      <w:rFonts w:cs="Arial"/>
    </w:rPr>
  </w:style>
  <w:style w:type="character" w:customStyle="1" w:styleId="Heading2Char">
    <w:name w:val="Heading 2 Char"/>
    <w:basedOn w:val="DefaultParagraphFont"/>
    <w:link w:val="Heading2"/>
    <w:rsid w:val="00286BCD"/>
    <w:rPr>
      <w:rFonts w:ascii="Arial" w:eastAsia="Times New Roman" w:hAnsi="Arial" w:cs="Times New Roman"/>
      <w:b/>
      <w:bCs/>
      <w:i/>
      <w:sz w:val="24"/>
      <w:szCs w:val="26"/>
    </w:rPr>
  </w:style>
  <w:style w:type="character" w:customStyle="1" w:styleId="Heading3Char">
    <w:name w:val="Heading 3 Char"/>
    <w:basedOn w:val="DefaultParagraphFont"/>
    <w:link w:val="Heading3"/>
    <w:rsid w:val="00286BCD"/>
    <w:rPr>
      <w:rFonts w:ascii="Arial" w:eastAsia="Times New Roman" w:hAnsi="Arial" w:cs="Times New Roman"/>
      <w:b/>
      <w:bCs/>
      <w:i/>
      <w:sz w:val="24"/>
      <w:szCs w:val="24"/>
    </w:rPr>
  </w:style>
  <w:style w:type="character" w:customStyle="1" w:styleId="Heading4Char">
    <w:name w:val="Heading 4 Char"/>
    <w:basedOn w:val="DefaultParagraphFont"/>
    <w:link w:val="Heading4"/>
    <w:rsid w:val="00286BCD"/>
    <w:rPr>
      <w:rFonts w:ascii="Arial" w:eastAsia="Times New Roman" w:hAnsi="Arial" w:cs="Times New Roman"/>
      <w:b/>
      <w:bCs/>
      <w:i/>
      <w:iCs/>
      <w:sz w:val="24"/>
      <w:szCs w:val="24"/>
    </w:rPr>
  </w:style>
  <w:style w:type="character" w:customStyle="1" w:styleId="Heading5Char">
    <w:name w:val="Heading 5 Char"/>
    <w:basedOn w:val="DefaultParagraphFont"/>
    <w:link w:val="Heading5"/>
    <w:uiPriority w:val="9"/>
    <w:rsid w:val="00286BCD"/>
    <w:rPr>
      <w:rFonts w:ascii="Arial" w:eastAsia="Times New Roman" w:hAnsi="Arial" w:cs="Arial"/>
      <w:b/>
      <w:i/>
      <w:sz w:val="24"/>
      <w:szCs w:val="24"/>
    </w:rPr>
  </w:style>
  <w:style w:type="paragraph" w:customStyle="1" w:styleId="indentinblock">
    <w:name w:val="indent in block"/>
    <w:basedOn w:val="Normal"/>
    <w:qFormat/>
    <w:rsid w:val="00286BCD"/>
    <w:pPr>
      <w:ind w:left="1440" w:right="1440"/>
    </w:pPr>
  </w:style>
  <w:style w:type="paragraph" w:styleId="DocumentMap">
    <w:name w:val="Document Map"/>
    <w:basedOn w:val="Normal"/>
    <w:link w:val="DocumentMapChar"/>
    <w:uiPriority w:val="99"/>
    <w:unhideWhenUsed/>
    <w:rsid w:val="00286BCD"/>
    <w:rPr>
      <w:rFonts w:ascii="Tahoma" w:hAnsi="Tahoma" w:cs="Tahoma"/>
      <w:sz w:val="16"/>
      <w:szCs w:val="16"/>
    </w:rPr>
  </w:style>
  <w:style w:type="character" w:customStyle="1" w:styleId="DocumentMapChar">
    <w:name w:val="Document Map Char"/>
    <w:basedOn w:val="DefaultParagraphFont"/>
    <w:link w:val="DocumentMap"/>
    <w:uiPriority w:val="99"/>
    <w:rsid w:val="00286BCD"/>
    <w:rPr>
      <w:rFonts w:ascii="Tahoma" w:hAnsi="Tahoma" w:cs="Tahoma"/>
      <w:sz w:val="16"/>
      <w:szCs w:val="16"/>
    </w:rPr>
  </w:style>
  <w:style w:type="paragraph" w:styleId="Footer">
    <w:name w:val="footer"/>
    <w:basedOn w:val="Normal"/>
    <w:link w:val="FooterChar"/>
    <w:rsid w:val="008446BE"/>
    <w:pPr>
      <w:tabs>
        <w:tab w:val="clear" w:pos="720"/>
        <w:tab w:val="center" w:pos="4680"/>
        <w:tab w:val="right" w:pos="9360"/>
      </w:tabs>
    </w:pPr>
  </w:style>
  <w:style w:type="character" w:customStyle="1" w:styleId="FooterChar">
    <w:name w:val="Footer Char"/>
    <w:basedOn w:val="DefaultParagraphFont"/>
    <w:link w:val="Footer"/>
    <w:rsid w:val="008446BE"/>
    <w:rPr>
      <w:rFonts w:ascii="Arial" w:hAnsi="Arial"/>
      <w:sz w:val="24"/>
      <w:szCs w:val="24"/>
    </w:rPr>
  </w:style>
  <w:style w:type="character" w:customStyle="1" w:styleId="HeaderChar">
    <w:name w:val="Header Char"/>
    <w:link w:val="Header"/>
    <w:uiPriority w:val="99"/>
    <w:rsid w:val="008446BE"/>
    <w:rPr>
      <w:rFonts w:ascii="Arial" w:hAnsi="Arial"/>
      <w:sz w:val="24"/>
      <w:szCs w:val="24"/>
    </w:rPr>
  </w:style>
  <w:style w:type="paragraph" w:styleId="ListParagraph">
    <w:name w:val="List Paragraph"/>
    <w:basedOn w:val="Normal"/>
    <w:uiPriority w:val="34"/>
    <w:qFormat/>
    <w:rsid w:val="003000C7"/>
    <w:pPr>
      <w:ind w:left="720"/>
      <w:contextualSpacing/>
    </w:pPr>
  </w:style>
  <w:style w:type="paragraph" w:customStyle="1" w:styleId="Default">
    <w:name w:val="Default"/>
    <w:rsid w:val="00B662B9"/>
    <w:pPr>
      <w:autoSpaceDE w:val="0"/>
      <w:autoSpaceDN w:val="0"/>
      <w:adjustRightInd w:val="0"/>
    </w:pPr>
    <w:rPr>
      <w:rFonts w:ascii="Georgia" w:hAnsi="Georgia" w:cs="Georgia"/>
      <w:color w:val="000000"/>
      <w:sz w:val="24"/>
      <w:szCs w:val="24"/>
    </w:rPr>
  </w:style>
  <w:style w:type="character" w:styleId="FootnoteReference">
    <w:name w:val="footnote reference"/>
    <w:basedOn w:val="DefaultParagraphFont"/>
    <w:rsid w:val="005D60CE"/>
    <w:rPr>
      <w:vertAlign w:val="superscript"/>
    </w:rPr>
  </w:style>
  <w:style w:type="character" w:customStyle="1" w:styleId="FootnoteTextChar">
    <w:name w:val="Footnote Text Char"/>
    <w:basedOn w:val="DefaultParagraphFont"/>
    <w:link w:val="FootnoteText"/>
    <w:rsid w:val="00C80DBF"/>
    <w:rPr>
      <w:rFonts w:ascii="Arial" w:hAnsi="Arial"/>
      <w:sz w:val="22"/>
    </w:rPr>
  </w:style>
  <w:style w:type="paragraph" w:styleId="BalloonText">
    <w:name w:val="Balloon Text"/>
    <w:basedOn w:val="Normal"/>
    <w:link w:val="BalloonTextChar"/>
    <w:rsid w:val="00C5183E"/>
    <w:rPr>
      <w:rFonts w:ascii="Tahoma" w:hAnsi="Tahoma" w:cs="Tahoma"/>
      <w:sz w:val="16"/>
      <w:szCs w:val="16"/>
    </w:rPr>
  </w:style>
  <w:style w:type="character" w:customStyle="1" w:styleId="BalloonTextChar">
    <w:name w:val="Balloon Text Char"/>
    <w:basedOn w:val="DefaultParagraphFont"/>
    <w:link w:val="BalloonText"/>
    <w:rsid w:val="00C5183E"/>
    <w:rPr>
      <w:rFonts w:ascii="Tahoma" w:hAnsi="Tahoma" w:cs="Tahoma"/>
      <w:sz w:val="16"/>
      <w:szCs w:val="16"/>
    </w:rPr>
  </w:style>
  <w:style w:type="character" w:styleId="CommentReference">
    <w:name w:val="annotation reference"/>
    <w:basedOn w:val="DefaultParagraphFont"/>
    <w:rsid w:val="00DF28A6"/>
    <w:rPr>
      <w:sz w:val="16"/>
      <w:szCs w:val="16"/>
    </w:rPr>
  </w:style>
  <w:style w:type="paragraph" w:styleId="CommentText">
    <w:name w:val="annotation text"/>
    <w:basedOn w:val="Normal"/>
    <w:link w:val="CommentTextChar"/>
    <w:rsid w:val="00DF28A6"/>
    <w:rPr>
      <w:sz w:val="20"/>
      <w:szCs w:val="20"/>
    </w:rPr>
  </w:style>
  <w:style w:type="character" w:customStyle="1" w:styleId="CommentTextChar">
    <w:name w:val="Comment Text Char"/>
    <w:basedOn w:val="DefaultParagraphFont"/>
    <w:link w:val="CommentText"/>
    <w:rsid w:val="00DF28A6"/>
    <w:rPr>
      <w:rFonts w:ascii="Arial" w:hAnsi="Arial"/>
    </w:rPr>
  </w:style>
  <w:style w:type="paragraph" w:styleId="CommentSubject">
    <w:name w:val="annotation subject"/>
    <w:basedOn w:val="CommentText"/>
    <w:next w:val="CommentText"/>
    <w:link w:val="CommentSubjectChar"/>
    <w:rsid w:val="00DF28A6"/>
    <w:rPr>
      <w:b/>
      <w:bCs/>
    </w:rPr>
  </w:style>
  <w:style w:type="character" w:customStyle="1" w:styleId="CommentSubjectChar">
    <w:name w:val="Comment Subject Char"/>
    <w:basedOn w:val="CommentTextChar"/>
    <w:link w:val="CommentSubject"/>
    <w:rsid w:val="00DF28A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69719">
      <w:bodyDiv w:val="1"/>
      <w:marLeft w:val="0"/>
      <w:marRight w:val="0"/>
      <w:marTop w:val="0"/>
      <w:marBottom w:val="0"/>
      <w:divBdr>
        <w:top w:val="none" w:sz="0" w:space="0" w:color="auto"/>
        <w:left w:val="none" w:sz="0" w:space="0" w:color="auto"/>
        <w:bottom w:val="none" w:sz="0" w:space="0" w:color="auto"/>
        <w:right w:val="none" w:sz="0" w:space="0" w:color="auto"/>
      </w:divBdr>
      <w:divsChild>
        <w:div w:id="557059243">
          <w:marLeft w:val="0"/>
          <w:marRight w:val="0"/>
          <w:marTop w:val="0"/>
          <w:marBottom w:val="0"/>
          <w:divBdr>
            <w:top w:val="none" w:sz="0" w:space="0" w:color="auto"/>
            <w:left w:val="none" w:sz="0" w:space="0" w:color="auto"/>
            <w:bottom w:val="none" w:sz="0" w:space="0" w:color="auto"/>
            <w:right w:val="none" w:sz="0" w:space="0" w:color="auto"/>
          </w:divBdr>
          <w:divsChild>
            <w:div w:id="674068609">
              <w:marLeft w:val="0"/>
              <w:marRight w:val="0"/>
              <w:marTop w:val="0"/>
              <w:marBottom w:val="0"/>
              <w:divBdr>
                <w:top w:val="none" w:sz="0" w:space="0" w:color="auto"/>
                <w:left w:val="none" w:sz="0" w:space="0" w:color="auto"/>
                <w:bottom w:val="none" w:sz="0" w:space="0" w:color="auto"/>
                <w:right w:val="none" w:sz="0" w:space="0" w:color="auto"/>
              </w:divBdr>
              <w:divsChild>
                <w:div w:id="16928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35957">
      <w:bodyDiv w:val="1"/>
      <w:marLeft w:val="0"/>
      <w:marRight w:val="0"/>
      <w:marTop w:val="0"/>
      <w:marBottom w:val="0"/>
      <w:divBdr>
        <w:top w:val="none" w:sz="0" w:space="0" w:color="auto"/>
        <w:left w:val="none" w:sz="0" w:space="0" w:color="auto"/>
        <w:bottom w:val="none" w:sz="0" w:space="0" w:color="auto"/>
        <w:right w:val="none" w:sz="0" w:space="0" w:color="auto"/>
      </w:divBdr>
      <w:divsChild>
        <w:div w:id="1105686550">
          <w:marLeft w:val="0"/>
          <w:marRight w:val="0"/>
          <w:marTop w:val="0"/>
          <w:marBottom w:val="0"/>
          <w:divBdr>
            <w:top w:val="none" w:sz="0" w:space="0" w:color="auto"/>
            <w:left w:val="none" w:sz="0" w:space="0" w:color="auto"/>
            <w:bottom w:val="none" w:sz="0" w:space="0" w:color="auto"/>
            <w:right w:val="none" w:sz="0" w:space="0" w:color="auto"/>
          </w:divBdr>
          <w:divsChild>
            <w:div w:id="1378437100">
              <w:marLeft w:val="0"/>
              <w:marRight w:val="0"/>
              <w:marTop w:val="0"/>
              <w:marBottom w:val="0"/>
              <w:divBdr>
                <w:top w:val="none" w:sz="0" w:space="0" w:color="auto"/>
                <w:left w:val="none" w:sz="0" w:space="0" w:color="auto"/>
                <w:bottom w:val="none" w:sz="0" w:space="0" w:color="auto"/>
                <w:right w:val="none" w:sz="0" w:space="0" w:color="auto"/>
              </w:divBdr>
              <w:divsChild>
                <w:div w:id="18682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37973">
      <w:bodyDiv w:val="1"/>
      <w:marLeft w:val="0"/>
      <w:marRight w:val="0"/>
      <w:marTop w:val="0"/>
      <w:marBottom w:val="0"/>
      <w:divBdr>
        <w:top w:val="none" w:sz="0" w:space="0" w:color="auto"/>
        <w:left w:val="none" w:sz="0" w:space="0" w:color="auto"/>
        <w:bottom w:val="none" w:sz="0" w:space="0" w:color="auto"/>
        <w:right w:val="none" w:sz="0" w:space="0" w:color="auto"/>
      </w:divBdr>
      <w:divsChild>
        <w:div w:id="1095856524">
          <w:marLeft w:val="0"/>
          <w:marRight w:val="0"/>
          <w:marTop w:val="0"/>
          <w:marBottom w:val="0"/>
          <w:divBdr>
            <w:top w:val="none" w:sz="0" w:space="0" w:color="auto"/>
            <w:left w:val="none" w:sz="0" w:space="0" w:color="auto"/>
            <w:bottom w:val="none" w:sz="0" w:space="0" w:color="auto"/>
            <w:right w:val="none" w:sz="0" w:space="0" w:color="auto"/>
          </w:divBdr>
          <w:divsChild>
            <w:div w:id="1598517574">
              <w:marLeft w:val="0"/>
              <w:marRight w:val="0"/>
              <w:marTop w:val="0"/>
              <w:marBottom w:val="0"/>
              <w:divBdr>
                <w:top w:val="none" w:sz="0" w:space="0" w:color="auto"/>
                <w:left w:val="none" w:sz="0" w:space="0" w:color="auto"/>
                <w:bottom w:val="none" w:sz="0" w:space="0" w:color="auto"/>
                <w:right w:val="none" w:sz="0" w:space="0" w:color="auto"/>
              </w:divBdr>
              <w:divsChild>
                <w:div w:id="9137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7338">
      <w:bodyDiv w:val="1"/>
      <w:marLeft w:val="0"/>
      <w:marRight w:val="0"/>
      <w:marTop w:val="0"/>
      <w:marBottom w:val="0"/>
      <w:divBdr>
        <w:top w:val="none" w:sz="0" w:space="0" w:color="auto"/>
        <w:left w:val="none" w:sz="0" w:space="0" w:color="auto"/>
        <w:bottom w:val="none" w:sz="0" w:space="0" w:color="auto"/>
        <w:right w:val="none" w:sz="0" w:space="0" w:color="auto"/>
      </w:divBdr>
      <w:divsChild>
        <w:div w:id="679310118">
          <w:marLeft w:val="0"/>
          <w:marRight w:val="0"/>
          <w:marTop w:val="0"/>
          <w:marBottom w:val="0"/>
          <w:divBdr>
            <w:top w:val="none" w:sz="0" w:space="0" w:color="auto"/>
            <w:left w:val="none" w:sz="0" w:space="0" w:color="auto"/>
            <w:bottom w:val="none" w:sz="0" w:space="0" w:color="auto"/>
            <w:right w:val="none" w:sz="0" w:space="0" w:color="auto"/>
          </w:divBdr>
          <w:divsChild>
            <w:div w:id="827290083">
              <w:marLeft w:val="0"/>
              <w:marRight w:val="0"/>
              <w:marTop w:val="0"/>
              <w:marBottom w:val="0"/>
              <w:divBdr>
                <w:top w:val="none" w:sz="0" w:space="0" w:color="auto"/>
                <w:left w:val="none" w:sz="0" w:space="0" w:color="auto"/>
                <w:bottom w:val="none" w:sz="0" w:space="0" w:color="auto"/>
                <w:right w:val="none" w:sz="0" w:space="0" w:color="auto"/>
              </w:divBdr>
              <w:divsChild>
                <w:div w:id="3158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1881">
      <w:bodyDiv w:val="1"/>
      <w:marLeft w:val="0"/>
      <w:marRight w:val="0"/>
      <w:marTop w:val="0"/>
      <w:marBottom w:val="0"/>
      <w:divBdr>
        <w:top w:val="none" w:sz="0" w:space="0" w:color="auto"/>
        <w:left w:val="none" w:sz="0" w:space="0" w:color="auto"/>
        <w:bottom w:val="none" w:sz="0" w:space="0" w:color="auto"/>
        <w:right w:val="none" w:sz="0" w:space="0" w:color="auto"/>
      </w:divBdr>
      <w:divsChild>
        <w:div w:id="1922981268">
          <w:marLeft w:val="0"/>
          <w:marRight w:val="0"/>
          <w:marTop w:val="0"/>
          <w:marBottom w:val="0"/>
          <w:divBdr>
            <w:top w:val="none" w:sz="0" w:space="0" w:color="auto"/>
            <w:left w:val="none" w:sz="0" w:space="0" w:color="auto"/>
            <w:bottom w:val="none" w:sz="0" w:space="0" w:color="auto"/>
            <w:right w:val="none" w:sz="0" w:space="0" w:color="auto"/>
          </w:divBdr>
          <w:divsChild>
            <w:div w:id="1049576339">
              <w:marLeft w:val="0"/>
              <w:marRight w:val="0"/>
              <w:marTop w:val="0"/>
              <w:marBottom w:val="0"/>
              <w:divBdr>
                <w:top w:val="none" w:sz="0" w:space="0" w:color="auto"/>
                <w:left w:val="none" w:sz="0" w:space="0" w:color="auto"/>
                <w:bottom w:val="none" w:sz="0" w:space="0" w:color="auto"/>
                <w:right w:val="none" w:sz="0" w:space="0" w:color="auto"/>
              </w:divBdr>
              <w:divsChild>
                <w:div w:id="6671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9225">
      <w:bodyDiv w:val="1"/>
      <w:marLeft w:val="0"/>
      <w:marRight w:val="0"/>
      <w:marTop w:val="0"/>
      <w:marBottom w:val="0"/>
      <w:divBdr>
        <w:top w:val="none" w:sz="0" w:space="0" w:color="auto"/>
        <w:left w:val="none" w:sz="0" w:space="0" w:color="auto"/>
        <w:bottom w:val="none" w:sz="0" w:space="0" w:color="auto"/>
        <w:right w:val="none" w:sz="0" w:space="0" w:color="auto"/>
      </w:divBdr>
      <w:divsChild>
        <w:div w:id="1378771903">
          <w:marLeft w:val="0"/>
          <w:marRight w:val="0"/>
          <w:marTop w:val="0"/>
          <w:marBottom w:val="0"/>
          <w:divBdr>
            <w:top w:val="none" w:sz="0" w:space="0" w:color="auto"/>
            <w:left w:val="none" w:sz="0" w:space="0" w:color="auto"/>
            <w:bottom w:val="none" w:sz="0" w:space="0" w:color="auto"/>
            <w:right w:val="none" w:sz="0" w:space="0" w:color="auto"/>
          </w:divBdr>
          <w:divsChild>
            <w:div w:id="754323522">
              <w:marLeft w:val="0"/>
              <w:marRight w:val="0"/>
              <w:marTop w:val="0"/>
              <w:marBottom w:val="0"/>
              <w:divBdr>
                <w:top w:val="none" w:sz="0" w:space="0" w:color="auto"/>
                <w:left w:val="none" w:sz="0" w:space="0" w:color="auto"/>
                <w:bottom w:val="none" w:sz="0" w:space="0" w:color="auto"/>
                <w:right w:val="none" w:sz="0" w:space="0" w:color="auto"/>
              </w:divBdr>
              <w:divsChild>
                <w:div w:id="4492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81171">
      <w:bodyDiv w:val="1"/>
      <w:marLeft w:val="0"/>
      <w:marRight w:val="0"/>
      <w:marTop w:val="0"/>
      <w:marBottom w:val="0"/>
      <w:divBdr>
        <w:top w:val="none" w:sz="0" w:space="0" w:color="auto"/>
        <w:left w:val="none" w:sz="0" w:space="0" w:color="auto"/>
        <w:bottom w:val="none" w:sz="0" w:space="0" w:color="auto"/>
        <w:right w:val="none" w:sz="0" w:space="0" w:color="auto"/>
      </w:divBdr>
      <w:divsChild>
        <w:div w:id="1102148597">
          <w:marLeft w:val="0"/>
          <w:marRight w:val="0"/>
          <w:marTop w:val="0"/>
          <w:marBottom w:val="0"/>
          <w:divBdr>
            <w:top w:val="none" w:sz="0" w:space="0" w:color="auto"/>
            <w:left w:val="none" w:sz="0" w:space="0" w:color="auto"/>
            <w:bottom w:val="none" w:sz="0" w:space="0" w:color="auto"/>
            <w:right w:val="none" w:sz="0" w:space="0" w:color="auto"/>
          </w:divBdr>
          <w:divsChild>
            <w:div w:id="25180883">
              <w:marLeft w:val="0"/>
              <w:marRight w:val="0"/>
              <w:marTop w:val="0"/>
              <w:marBottom w:val="0"/>
              <w:divBdr>
                <w:top w:val="none" w:sz="0" w:space="0" w:color="auto"/>
                <w:left w:val="none" w:sz="0" w:space="0" w:color="auto"/>
                <w:bottom w:val="none" w:sz="0" w:space="0" w:color="auto"/>
                <w:right w:val="none" w:sz="0" w:space="0" w:color="auto"/>
              </w:divBdr>
              <w:divsChild>
                <w:div w:id="99761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3724">
      <w:bodyDiv w:val="1"/>
      <w:marLeft w:val="0"/>
      <w:marRight w:val="0"/>
      <w:marTop w:val="0"/>
      <w:marBottom w:val="0"/>
      <w:divBdr>
        <w:top w:val="none" w:sz="0" w:space="0" w:color="auto"/>
        <w:left w:val="none" w:sz="0" w:space="0" w:color="auto"/>
        <w:bottom w:val="none" w:sz="0" w:space="0" w:color="auto"/>
        <w:right w:val="none" w:sz="0" w:space="0" w:color="auto"/>
      </w:divBdr>
      <w:divsChild>
        <w:div w:id="2040429265">
          <w:marLeft w:val="0"/>
          <w:marRight w:val="0"/>
          <w:marTop w:val="0"/>
          <w:marBottom w:val="0"/>
          <w:divBdr>
            <w:top w:val="none" w:sz="0" w:space="0" w:color="auto"/>
            <w:left w:val="none" w:sz="0" w:space="0" w:color="auto"/>
            <w:bottom w:val="none" w:sz="0" w:space="0" w:color="auto"/>
            <w:right w:val="none" w:sz="0" w:space="0" w:color="auto"/>
          </w:divBdr>
          <w:divsChild>
            <w:div w:id="797994769">
              <w:marLeft w:val="0"/>
              <w:marRight w:val="0"/>
              <w:marTop w:val="0"/>
              <w:marBottom w:val="0"/>
              <w:divBdr>
                <w:top w:val="none" w:sz="0" w:space="0" w:color="auto"/>
                <w:left w:val="none" w:sz="0" w:space="0" w:color="auto"/>
                <w:bottom w:val="none" w:sz="0" w:space="0" w:color="auto"/>
                <w:right w:val="none" w:sz="0" w:space="0" w:color="auto"/>
              </w:divBdr>
              <w:divsChild>
                <w:div w:id="14567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75328">
      <w:bodyDiv w:val="1"/>
      <w:marLeft w:val="0"/>
      <w:marRight w:val="0"/>
      <w:marTop w:val="0"/>
      <w:marBottom w:val="0"/>
      <w:divBdr>
        <w:top w:val="none" w:sz="0" w:space="0" w:color="auto"/>
        <w:left w:val="none" w:sz="0" w:space="0" w:color="auto"/>
        <w:bottom w:val="none" w:sz="0" w:space="0" w:color="auto"/>
        <w:right w:val="none" w:sz="0" w:space="0" w:color="auto"/>
      </w:divBdr>
    </w:div>
    <w:div w:id="1147475063">
      <w:bodyDiv w:val="1"/>
      <w:marLeft w:val="0"/>
      <w:marRight w:val="0"/>
      <w:marTop w:val="0"/>
      <w:marBottom w:val="0"/>
      <w:divBdr>
        <w:top w:val="none" w:sz="0" w:space="0" w:color="auto"/>
        <w:left w:val="none" w:sz="0" w:space="0" w:color="auto"/>
        <w:bottom w:val="none" w:sz="0" w:space="0" w:color="auto"/>
        <w:right w:val="none" w:sz="0" w:space="0" w:color="auto"/>
      </w:divBdr>
      <w:divsChild>
        <w:div w:id="1971738505">
          <w:marLeft w:val="0"/>
          <w:marRight w:val="0"/>
          <w:marTop w:val="0"/>
          <w:marBottom w:val="0"/>
          <w:divBdr>
            <w:top w:val="none" w:sz="0" w:space="0" w:color="auto"/>
            <w:left w:val="none" w:sz="0" w:space="0" w:color="auto"/>
            <w:bottom w:val="none" w:sz="0" w:space="0" w:color="auto"/>
            <w:right w:val="none" w:sz="0" w:space="0" w:color="auto"/>
          </w:divBdr>
          <w:divsChild>
            <w:div w:id="1991059448">
              <w:marLeft w:val="0"/>
              <w:marRight w:val="0"/>
              <w:marTop w:val="0"/>
              <w:marBottom w:val="0"/>
              <w:divBdr>
                <w:top w:val="none" w:sz="0" w:space="0" w:color="auto"/>
                <w:left w:val="none" w:sz="0" w:space="0" w:color="auto"/>
                <w:bottom w:val="none" w:sz="0" w:space="0" w:color="auto"/>
                <w:right w:val="none" w:sz="0" w:space="0" w:color="auto"/>
              </w:divBdr>
              <w:divsChild>
                <w:div w:id="19970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51410">
      <w:bodyDiv w:val="1"/>
      <w:marLeft w:val="0"/>
      <w:marRight w:val="0"/>
      <w:marTop w:val="0"/>
      <w:marBottom w:val="0"/>
      <w:divBdr>
        <w:top w:val="none" w:sz="0" w:space="0" w:color="auto"/>
        <w:left w:val="none" w:sz="0" w:space="0" w:color="auto"/>
        <w:bottom w:val="none" w:sz="0" w:space="0" w:color="auto"/>
        <w:right w:val="none" w:sz="0" w:space="0" w:color="auto"/>
      </w:divBdr>
      <w:divsChild>
        <w:div w:id="255554753">
          <w:marLeft w:val="0"/>
          <w:marRight w:val="0"/>
          <w:marTop w:val="0"/>
          <w:marBottom w:val="0"/>
          <w:divBdr>
            <w:top w:val="none" w:sz="0" w:space="0" w:color="auto"/>
            <w:left w:val="none" w:sz="0" w:space="0" w:color="auto"/>
            <w:bottom w:val="none" w:sz="0" w:space="0" w:color="auto"/>
            <w:right w:val="none" w:sz="0" w:space="0" w:color="auto"/>
          </w:divBdr>
          <w:divsChild>
            <w:div w:id="463885101">
              <w:marLeft w:val="0"/>
              <w:marRight w:val="0"/>
              <w:marTop w:val="0"/>
              <w:marBottom w:val="0"/>
              <w:divBdr>
                <w:top w:val="none" w:sz="0" w:space="0" w:color="auto"/>
                <w:left w:val="none" w:sz="0" w:space="0" w:color="auto"/>
                <w:bottom w:val="none" w:sz="0" w:space="0" w:color="auto"/>
                <w:right w:val="none" w:sz="0" w:space="0" w:color="auto"/>
              </w:divBdr>
              <w:divsChild>
                <w:div w:id="12799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31645">
      <w:bodyDiv w:val="1"/>
      <w:marLeft w:val="0"/>
      <w:marRight w:val="0"/>
      <w:marTop w:val="0"/>
      <w:marBottom w:val="0"/>
      <w:divBdr>
        <w:top w:val="none" w:sz="0" w:space="0" w:color="auto"/>
        <w:left w:val="none" w:sz="0" w:space="0" w:color="auto"/>
        <w:bottom w:val="none" w:sz="0" w:space="0" w:color="auto"/>
        <w:right w:val="none" w:sz="0" w:space="0" w:color="auto"/>
      </w:divBdr>
      <w:divsChild>
        <w:div w:id="692809188">
          <w:marLeft w:val="0"/>
          <w:marRight w:val="0"/>
          <w:marTop w:val="0"/>
          <w:marBottom w:val="0"/>
          <w:divBdr>
            <w:top w:val="none" w:sz="0" w:space="0" w:color="auto"/>
            <w:left w:val="none" w:sz="0" w:space="0" w:color="auto"/>
            <w:bottom w:val="none" w:sz="0" w:space="0" w:color="auto"/>
            <w:right w:val="none" w:sz="0" w:space="0" w:color="auto"/>
          </w:divBdr>
          <w:divsChild>
            <w:div w:id="988946502">
              <w:marLeft w:val="0"/>
              <w:marRight w:val="0"/>
              <w:marTop w:val="0"/>
              <w:marBottom w:val="0"/>
              <w:divBdr>
                <w:top w:val="none" w:sz="0" w:space="0" w:color="auto"/>
                <w:left w:val="none" w:sz="0" w:space="0" w:color="auto"/>
                <w:bottom w:val="none" w:sz="0" w:space="0" w:color="auto"/>
                <w:right w:val="none" w:sz="0" w:space="0" w:color="auto"/>
              </w:divBdr>
              <w:divsChild>
                <w:div w:id="16264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711">
      <w:bodyDiv w:val="1"/>
      <w:marLeft w:val="0"/>
      <w:marRight w:val="0"/>
      <w:marTop w:val="0"/>
      <w:marBottom w:val="0"/>
      <w:divBdr>
        <w:top w:val="none" w:sz="0" w:space="0" w:color="auto"/>
        <w:left w:val="none" w:sz="0" w:space="0" w:color="auto"/>
        <w:bottom w:val="none" w:sz="0" w:space="0" w:color="auto"/>
        <w:right w:val="none" w:sz="0" w:space="0" w:color="auto"/>
      </w:divBdr>
      <w:divsChild>
        <w:div w:id="231082798">
          <w:marLeft w:val="0"/>
          <w:marRight w:val="0"/>
          <w:marTop w:val="0"/>
          <w:marBottom w:val="0"/>
          <w:divBdr>
            <w:top w:val="none" w:sz="0" w:space="0" w:color="auto"/>
            <w:left w:val="none" w:sz="0" w:space="0" w:color="auto"/>
            <w:bottom w:val="none" w:sz="0" w:space="0" w:color="auto"/>
            <w:right w:val="none" w:sz="0" w:space="0" w:color="auto"/>
          </w:divBdr>
          <w:divsChild>
            <w:div w:id="254025103">
              <w:marLeft w:val="0"/>
              <w:marRight w:val="0"/>
              <w:marTop w:val="0"/>
              <w:marBottom w:val="0"/>
              <w:divBdr>
                <w:top w:val="none" w:sz="0" w:space="0" w:color="auto"/>
                <w:left w:val="none" w:sz="0" w:space="0" w:color="auto"/>
                <w:bottom w:val="none" w:sz="0" w:space="0" w:color="auto"/>
                <w:right w:val="none" w:sz="0" w:space="0" w:color="auto"/>
              </w:divBdr>
              <w:divsChild>
                <w:div w:id="16585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6275">
      <w:bodyDiv w:val="1"/>
      <w:marLeft w:val="0"/>
      <w:marRight w:val="0"/>
      <w:marTop w:val="0"/>
      <w:marBottom w:val="0"/>
      <w:divBdr>
        <w:top w:val="none" w:sz="0" w:space="0" w:color="auto"/>
        <w:left w:val="none" w:sz="0" w:space="0" w:color="auto"/>
        <w:bottom w:val="none" w:sz="0" w:space="0" w:color="auto"/>
        <w:right w:val="none" w:sz="0" w:space="0" w:color="auto"/>
      </w:divBdr>
      <w:divsChild>
        <w:div w:id="1432361742">
          <w:marLeft w:val="0"/>
          <w:marRight w:val="0"/>
          <w:marTop w:val="0"/>
          <w:marBottom w:val="0"/>
          <w:divBdr>
            <w:top w:val="none" w:sz="0" w:space="0" w:color="auto"/>
            <w:left w:val="none" w:sz="0" w:space="0" w:color="auto"/>
            <w:bottom w:val="none" w:sz="0" w:space="0" w:color="auto"/>
            <w:right w:val="none" w:sz="0" w:space="0" w:color="auto"/>
          </w:divBdr>
          <w:divsChild>
            <w:div w:id="2069256621">
              <w:marLeft w:val="0"/>
              <w:marRight w:val="0"/>
              <w:marTop w:val="0"/>
              <w:marBottom w:val="0"/>
              <w:divBdr>
                <w:top w:val="none" w:sz="0" w:space="0" w:color="auto"/>
                <w:left w:val="none" w:sz="0" w:space="0" w:color="auto"/>
                <w:bottom w:val="none" w:sz="0" w:space="0" w:color="auto"/>
                <w:right w:val="none" w:sz="0" w:space="0" w:color="auto"/>
              </w:divBdr>
              <w:divsChild>
                <w:div w:id="14028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3199">
      <w:bodyDiv w:val="1"/>
      <w:marLeft w:val="0"/>
      <w:marRight w:val="0"/>
      <w:marTop w:val="0"/>
      <w:marBottom w:val="0"/>
      <w:divBdr>
        <w:top w:val="none" w:sz="0" w:space="0" w:color="auto"/>
        <w:left w:val="none" w:sz="0" w:space="0" w:color="auto"/>
        <w:bottom w:val="none" w:sz="0" w:space="0" w:color="auto"/>
        <w:right w:val="none" w:sz="0" w:space="0" w:color="auto"/>
      </w:divBdr>
      <w:divsChild>
        <w:div w:id="1972058523">
          <w:marLeft w:val="0"/>
          <w:marRight w:val="0"/>
          <w:marTop w:val="0"/>
          <w:marBottom w:val="0"/>
          <w:divBdr>
            <w:top w:val="none" w:sz="0" w:space="0" w:color="auto"/>
            <w:left w:val="none" w:sz="0" w:space="0" w:color="auto"/>
            <w:bottom w:val="none" w:sz="0" w:space="0" w:color="auto"/>
            <w:right w:val="none" w:sz="0" w:space="0" w:color="auto"/>
          </w:divBdr>
          <w:divsChild>
            <w:div w:id="785078301">
              <w:marLeft w:val="0"/>
              <w:marRight w:val="0"/>
              <w:marTop w:val="0"/>
              <w:marBottom w:val="0"/>
              <w:divBdr>
                <w:top w:val="none" w:sz="0" w:space="0" w:color="auto"/>
                <w:left w:val="none" w:sz="0" w:space="0" w:color="auto"/>
                <w:bottom w:val="none" w:sz="0" w:space="0" w:color="auto"/>
                <w:right w:val="none" w:sz="0" w:space="0" w:color="auto"/>
              </w:divBdr>
              <w:divsChild>
                <w:div w:id="48962410">
                  <w:marLeft w:val="0"/>
                  <w:marRight w:val="0"/>
                  <w:marTop w:val="0"/>
                  <w:marBottom w:val="0"/>
                  <w:divBdr>
                    <w:top w:val="none" w:sz="0" w:space="0" w:color="auto"/>
                    <w:left w:val="none" w:sz="0" w:space="0" w:color="auto"/>
                    <w:bottom w:val="none" w:sz="0" w:space="0" w:color="auto"/>
                    <w:right w:val="none" w:sz="0" w:space="0" w:color="auto"/>
                  </w:divBdr>
                </w:div>
                <w:div w:id="1429932010">
                  <w:marLeft w:val="0"/>
                  <w:marRight w:val="0"/>
                  <w:marTop w:val="0"/>
                  <w:marBottom w:val="0"/>
                  <w:divBdr>
                    <w:top w:val="none" w:sz="0" w:space="0" w:color="auto"/>
                    <w:left w:val="none" w:sz="0" w:space="0" w:color="auto"/>
                    <w:bottom w:val="none" w:sz="0" w:space="0" w:color="auto"/>
                    <w:right w:val="none" w:sz="0" w:space="0" w:color="auto"/>
                  </w:divBdr>
                  <w:divsChild>
                    <w:div w:id="252397301">
                      <w:marLeft w:val="0"/>
                      <w:marRight w:val="0"/>
                      <w:marTop w:val="0"/>
                      <w:marBottom w:val="0"/>
                      <w:divBdr>
                        <w:top w:val="none" w:sz="0" w:space="0" w:color="auto"/>
                        <w:left w:val="none" w:sz="0" w:space="0" w:color="auto"/>
                        <w:bottom w:val="none" w:sz="0" w:space="0" w:color="auto"/>
                        <w:right w:val="none" w:sz="0" w:space="0" w:color="auto"/>
                      </w:divBdr>
                      <w:divsChild>
                        <w:div w:id="1206411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54822">
                  <w:marLeft w:val="0"/>
                  <w:marRight w:val="0"/>
                  <w:marTop w:val="0"/>
                  <w:marBottom w:val="0"/>
                  <w:divBdr>
                    <w:top w:val="none" w:sz="0" w:space="0" w:color="auto"/>
                    <w:left w:val="none" w:sz="0" w:space="0" w:color="auto"/>
                    <w:bottom w:val="none" w:sz="0" w:space="0" w:color="auto"/>
                    <w:right w:val="none" w:sz="0" w:space="0" w:color="auto"/>
                  </w:divBdr>
                </w:div>
                <w:div w:id="20063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06318">
      <w:bodyDiv w:val="1"/>
      <w:marLeft w:val="0"/>
      <w:marRight w:val="0"/>
      <w:marTop w:val="0"/>
      <w:marBottom w:val="0"/>
      <w:divBdr>
        <w:top w:val="none" w:sz="0" w:space="0" w:color="auto"/>
        <w:left w:val="none" w:sz="0" w:space="0" w:color="auto"/>
        <w:bottom w:val="none" w:sz="0" w:space="0" w:color="auto"/>
        <w:right w:val="none" w:sz="0" w:space="0" w:color="auto"/>
      </w:divBdr>
      <w:divsChild>
        <w:div w:id="1172262093">
          <w:marLeft w:val="0"/>
          <w:marRight w:val="0"/>
          <w:marTop w:val="0"/>
          <w:marBottom w:val="0"/>
          <w:divBdr>
            <w:top w:val="none" w:sz="0" w:space="0" w:color="auto"/>
            <w:left w:val="none" w:sz="0" w:space="0" w:color="auto"/>
            <w:bottom w:val="none" w:sz="0" w:space="0" w:color="auto"/>
            <w:right w:val="none" w:sz="0" w:space="0" w:color="auto"/>
          </w:divBdr>
          <w:divsChild>
            <w:div w:id="814109337">
              <w:marLeft w:val="0"/>
              <w:marRight w:val="0"/>
              <w:marTop w:val="0"/>
              <w:marBottom w:val="0"/>
              <w:divBdr>
                <w:top w:val="none" w:sz="0" w:space="0" w:color="auto"/>
                <w:left w:val="none" w:sz="0" w:space="0" w:color="auto"/>
                <w:bottom w:val="none" w:sz="0" w:space="0" w:color="auto"/>
                <w:right w:val="none" w:sz="0" w:space="0" w:color="auto"/>
              </w:divBdr>
              <w:divsChild>
                <w:div w:id="191647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932041">
      <w:bodyDiv w:val="1"/>
      <w:marLeft w:val="0"/>
      <w:marRight w:val="0"/>
      <w:marTop w:val="0"/>
      <w:marBottom w:val="0"/>
      <w:divBdr>
        <w:top w:val="none" w:sz="0" w:space="0" w:color="auto"/>
        <w:left w:val="none" w:sz="0" w:space="0" w:color="auto"/>
        <w:bottom w:val="none" w:sz="0" w:space="0" w:color="auto"/>
        <w:right w:val="none" w:sz="0" w:space="0" w:color="auto"/>
      </w:divBdr>
      <w:divsChild>
        <w:div w:id="435683378">
          <w:marLeft w:val="0"/>
          <w:marRight w:val="0"/>
          <w:marTop w:val="0"/>
          <w:marBottom w:val="0"/>
          <w:divBdr>
            <w:top w:val="none" w:sz="0" w:space="0" w:color="auto"/>
            <w:left w:val="none" w:sz="0" w:space="0" w:color="auto"/>
            <w:bottom w:val="none" w:sz="0" w:space="0" w:color="auto"/>
            <w:right w:val="none" w:sz="0" w:space="0" w:color="auto"/>
          </w:divBdr>
          <w:divsChild>
            <w:div w:id="1982880968">
              <w:marLeft w:val="0"/>
              <w:marRight w:val="0"/>
              <w:marTop w:val="0"/>
              <w:marBottom w:val="0"/>
              <w:divBdr>
                <w:top w:val="none" w:sz="0" w:space="0" w:color="auto"/>
                <w:left w:val="none" w:sz="0" w:space="0" w:color="auto"/>
                <w:bottom w:val="none" w:sz="0" w:space="0" w:color="auto"/>
                <w:right w:val="none" w:sz="0" w:space="0" w:color="auto"/>
              </w:divBdr>
              <w:divsChild>
                <w:div w:id="15496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12876">
      <w:bodyDiv w:val="1"/>
      <w:marLeft w:val="0"/>
      <w:marRight w:val="0"/>
      <w:marTop w:val="0"/>
      <w:marBottom w:val="0"/>
      <w:divBdr>
        <w:top w:val="none" w:sz="0" w:space="0" w:color="auto"/>
        <w:left w:val="none" w:sz="0" w:space="0" w:color="auto"/>
        <w:bottom w:val="none" w:sz="0" w:space="0" w:color="auto"/>
        <w:right w:val="none" w:sz="0" w:space="0" w:color="auto"/>
      </w:divBdr>
      <w:divsChild>
        <w:div w:id="2085686893">
          <w:marLeft w:val="0"/>
          <w:marRight w:val="0"/>
          <w:marTop w:val="0"/>
          <w:marBottom w:val="0"/>
          <w:divBdr>
            <w:top w:val="none" w:sz="0" w:space="0" w:color="auto"/>
            <w:left w:val="none" w:sz="0" w:space="0" w:color="auto"/>
            <w:bottom w:val="none" w:sz="0" w:space="0" w:color="auto"/>
            <w:right w:val="none" w:sz="0" w:space="0" w:color="auto"/>
          </w:divBdr>
          <w:divsChild>
            <w:div w:id="239484458">
              <w:marLeft w:val="0"/>
              <w:marRight w:val="0"/>
              <w:marTop w:val="0"/>
              <w:marBottom w:val="0"/>
              <w:divBdr>
                <w:top w:val="none" w:sz="0" w:space="0" w:color="auto"/>
                <w:left w:val="none" w:sz="0" w:space="0" w:color="auto"/>
                <w:bottom w:val="none" w:sz="0" w:space="0" w:color="auto"/>
                <w:right w:val="none" w:sz="0" w:space="0" w:color="auto"/>
              </w:divBdr>
              <w:divsChild>
                <w:div w:id="2123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22794">
      <w:bodyDiv w:val="1"/>
      <w:marLeft w:val="0"/>
      <w:marRight w:val="0"/>
      <w:marTop w:val="0"/>
      <w:marBottom w:val="0"/>
      <w:divBdr>
        <w:top w:val="none" w:sz="0" w:space="0" w:color="auto"/>
        <w:left w:val="none" w:sz="0" w:space="0" w:color="auto"/>
        <w:bottom w:val="none" w:sz="0" w:space="0" w:color="auto"/>
        <w:right w:val="none" w:sz="0" w:space="0" w:color="auto"/>
      </w:divBdr>
      <w:divsChild>
        <w:div w:id="1383555939">
          <w:marLeft w:val="0"/>
          <w:marRight w:val="0"/>
          <w:marTop w:val="0"/>
          <w:marBottom w:val="0"/>
          <w:divBdr>
            <w:top w:val="none" w:sz="0" w:space="0" w:color="auto"/>
            <w:left w:val="none" w:sz="0" w:space="0" w:color="auto"/>
            <w:bottom w:val="none" w:sz="0" w:space="0" w:color="auto"/>
            <w:right w:val="none" w:sz="0" w:space="0" w:color="auto"/>
          </w:divBdr>
          <w:divsChild>
            <w:div w:id="888222279">
              <w:marLeft w:val="0"/>
              <w:marRight w:val="0"/>
              <w:marTop w:val="0"/>
              <w:marBottom w:val="0"/>
              <w:divBdr>
                <w:top w:val="none" w:sz="0" w:space="0" w:color="auto"/>
                <w:left w:val="none" w:sz="0" w:space="0" w:color="auto"/>
                <w:bottom w:val="none" w:sz="0" w:space="0" w:color="auto"/>
                <w:right w:val="none" w:sz="0" w:space="0" w:color="auto"/>
              </w:divBdr>
              <w:divsChild>
                <w:div w:id="1330911863">
                  <w:marLeft w:val="0"/>
                  <w:marRight w:val="0"/>
                  <w:marTop w:val="0"/>
                  <w:marBottom w:val="0"/>
                  <w:divBdr>
                    <w:top w:val="none" w:sz="0" w:space="0" w:color="auto"/>
                    <w:left w:val="none" w:sz="0" w:space="0" w:color="auto"/>
                    <w:bottom w:val="none" w:sz="0" w:space="0" w:color="auto"/>
                    <w:right w:val="none" w:sz="0" w:space="0" w:color="auto"/>
                  </w:divBdr>
                </w:div>
                <w:div w:id="1173377560">
                  <w:marLeft w:val="0"/>
                  <w:marRight w:val="0"/>
                  <w:marTop w:val="0"/>
                  <w:marBottom w:val="0"/>
                  <w:divBdr>
                    <w:top w:val="none" w:sz="0" w:space="0" w:color="auto"/>
                    <w:left w:val="none" w:sz="0" w:space="0" w:color="auto"/>
                    <w:bottom w:val="none" w:sz="0" w:space="0" w:color="auto"/>
                    <w:right w:val="none" w:sz="0" w:space="0" w:color="auto"/>
                  </w:divBdr>
                  <w:divsChild>
                    <w:div w:id="1599674692">
                      <w:marLeft w:val="0"/>
                      <w:marRight w:val="0"/>
                      <w:marTop w:val="0"/>
                      <w:marBottom w:val="0"/>
                      <w:divBdr>
                        <w:top w:val="none" w:sz="0" w:space="0" w:color="auto"/>
                        <w:left w:val="none" w:sz="0" w:space="0" w:color="auto"/>
                        <w:bottom w:val="none" w:sz="0" w:space="0" w:color="auto"/>
                        <w:right w:val="none" w:sz="0" w:space="0" w:color="auto"/>
                      </w:divBdr>
                    </w:div>
                  </w:divsChild>
                </w:div>
                <w:div w:id="1769425872">
                  <w:marLeft w:val="0"/>
                  <w:marRight w:val="0"/>
                  <w:marTop w:val="0"/>
                  <w:marBottom w:val="0"/>
                  <w:divBdr>
                    <w:top w:val="none" w:sz="0" w:space="0" w:color="auto"/>
                    <w:left w:val="none" w:sz="0" w:space="0" w:color="auto"/>
                    <w:bottom w:val="none" w:sz="0" w:space="0" w:color="auto"/>
                    <w:right w:val="none" w:sz="0" w:space="0" w:color="auto"/>
                  </w:divBdr>
                  <w:divsChild>
                    <w:div w:id="179858272">
                      <w:marLeft w:val="0"/>
                      <w:marRight w:val="0"/>
                      <w:marTop w:val="0"/>
                      <w:marBottom w:val="0"/>
                      <w:divBdr>
                        <w:top w:val="none" w:sz="0" w:space="0" w:color="auto"/>
                        <w:left w:val="none" w:sz="0" w:space="0" w:color="auto"/>
                        <w:bottom w:val="none" w:sz="0" w:space="0" w:color="auto"/>
                        <w:right w:val="none" w:sz="0" w:space="0" w:color="auto"/>
                      </w:divBdr>
                    </w:div>
                  </w:divsChild>
                </w:div>
                <w:div w:id="1517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B82E3-9D0F-4BEB-9B58-A0A1B4A6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3653</Words>
  <Characters>19364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2018-04-16T19:51:00Z</dcterms:created>
  <dcterms:modified xsi:type="dcterms:W3CDTF">2018-04-16T19:51:00Z</dcterms:modified>
</cp:coreProperties>
</file>